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>S2</w:t>
            </w:r>
            <w:r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r>
        <w:t>Figure S1</w:t>
      </w:r>
      <w:r>
        <w:t xml:space="preserve">).</w:t>
      </w:r>
    </w:p>
    <w:p w14:paraId="027A5002" w14:textId="77777777" w:rsidR="001C0510" w:rsidRPr="00A53676" w:rsidRDefault="00C34D88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C34D88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C34D88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</w:t>
      </w:r>
      <w:r>
        <w:t xml:space="preserve">selected</w:t>
      </w:r>
      <w:r>
        <w:t xml:space="preserve"> on physical and numerical grounds</w:t>
      </w:r>
      <w:r>
        <w:t xml:space="preserve">,</w:t>
      </w:r>
      <w:r>
        <w:t xml:space="preserve"> with</w:t>
      </w:r>
      <w:r>
        <w:t xml:space="preserve"> agreement to</w:t>
      </w:r>
      <w:r>
        <w:t xml:space="preserve"> the literature data </w:t>
      </w:r>
      <w:r>
        <w:t xml:space="preserve">used only</w:t>
      </w:r>
      <w:r>
        <w:t xml:space="preserve"> as a consistency check</w:t>
      </w:r>
      <w:r>
        <w:t xml:space="preserve">.</w:t>
      </w:r>
      <w:r>
        <w:t xml:space="preserve"> </w:t>
      </w:r>
      <w:r>
        <w:t xml:space="preserve">RMSE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the selection criterion</w:t>
      </w:r>
      <w:r>
        <w:t xml:space="preserve"> because </w:t>
      </w:r>
      <w:r>
        <w:t xml:space="preserve">it</w:t>
      </w:r>
      <w:r>
        <w:t xml:space="preserve"> depends on</w:t>
      </w:r>
      <w:r>
        <w:t xml:space="preserve"> calibration and could be reduced for any rule </w:t>
      </w:r>
      <w:r>
        <w:t xml:space="preserve">through</w:t>
      </w:r>
      <w:r>
        <w:t xml:space="preserve"> </w:t>
      </w:r>
      <w:r>
        <w:t xml:space="preserve">recalibration.</w:t>
      </w:r>
      <w:r>
        <w:t xml:space="preserve"> </w:t>
      </w:r>
      <w:r>
        <w:t xml:space="preserve">Rule A reflects the physical assumption that the slowest rate-limiting process controls degradation, which is consistent with the simulations showing oxygen-diffusion control over &gt;99% of the interface at 672 h</w:t>
      </w:r>
      <w:r>
        <w:t xml:space="preserve">.</w:t>
      </w:r>
      <w:r>
        <w:t xml:space="preserve"> Rules B and C introduce additional blending terms without improving the governing physics, while Rule D removes the oxygen-diffusion constraint and substantially overpredicts mass loss (0.58% at 168 h against 0.20% in the literature data). Finally, the hard minimum caused no significant numerical issues, with only two regime transitions occurring during the initial transient.</w:t>
      </w:r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A global O₂ mass balance shows that the O₂ consumed at the interface is about 1/32 of the stoichiometric requirement for the Zn lost at 24 h and about 1/24 at 168 h, so Zn recession is not stoichiometrically coupled to O₂ consumption in the present formulation.</w:t>
      </w:r>
      <w:r>
        <w:t xml:space="preserve">selected</w:t>
      </w:r>
      <w:r>
        <w:t xml:space="preserve">,</w:t>
      </w:r>
      <w:r>
        <w:t xml:space="preserve"> agreement to</w:t>
      </w:r>
      <w:r>
        <w:t xml:space="preserve">used only</w:t>
      </w:r>
      <w:r>
        <w:t xml:space="preserve">.</w:t>
      </w:r>
      <w:r>
        <w:t xml:space="preserve">RMSE</w:t>
      </w:r>
      <w:r>
        <w:t xml:space="preserve">was</w:t>
      </w:r>
      <w:r>
        <w:t xml:space="preserve">not</w:t>
      </w:r>
      <w:r>
        <w:t xml:space="preserve">it</w:t>
      </w:r>
      <w:r>
        <w:t xml:space="preserve">through</w:t>
      </w:r>
      <w:r>
        <w:t xml:space="preserve">recalibration.</w:t>
      </w:r>
      <w:r>
        <w:t xml:space="preserve">Rule A reflects the physical assumption that the slowest rate-limiting process controls degradation, which is consistent with the simulations showing oxygen-diffusion control over &gt;99% of the interface at 672 h</w:t>
      </w:r>
      <w:r>
        <w:t xml:space="preserve"> Rules B and C introduce additional blending terms without improving the governing physics, while Rule D removes the oxygen-diffusion constraint and substantially overpredicts mass loss (0.58% at 168 h against 0.20% in the literature data). Finally, the hard minimum caused no significant numerical issues, with only two regime transitions occurring during the initial transient.</w:t>
      </w:r>
    </w:p>
    <w:p w14:paraId="18125692" w14:textId="0D769DD7" w:rsidR="005639C1" w:rsidRDefault="007163D0">
      <w:pPr>
        <w:pStyle w:val="BodyText"/>
        <w:spacing w:after="120"/>
        <w:ind w:firstLine="0"/>
        <w:rPr/>
      </w:pP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>S2</w:t>
      </w:r>
      <w:r w:rsidR="007163D0">
        <w:t xml:space="preserve">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C34D88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an adaptive mesh and a uniform mesh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>
        <w:rPr>
          <w:b/>
          <w:bCs/>
          <w:sz w:val="20"/>
          <w:szCs w:val="20"/>
        </w:rPr>
        <w:t>error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for</w:t>
      </w:r>
      <w:r w:rsidRPr="007E2F54">
        <w:rPr>
          <w:b/>
          <w:bCs/>
          <w:sz w:val="20"/>
          <w:szCs w:val="20"/>
        </w:rPr>
        <w:t xml:space="preserve"> the </w:t>
      </w:r>
      <w:r>
        <w:rPr>
          <w:b/>
          <w:bCs/>
          <w:sz w:val="20"/>
          <w:szCs w:val="20"/>
        </w:rPr>
        <w:t>final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>.</w:t>
      </w:r>
    </w:p>
    <w:p w14:paraId="478FADA0" w14:textId="5943E1C8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S3</w:t>
      </w:r>
      <w:r>
        <w:t xml:space="preserve"> shows the geometries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19.46 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53.9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C34D8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C34D8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C34D8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0F4F986" w:rsidR="005639C1" w:rsidRDefault="007163D0">
      <w:pPr>
        <w:pStyle w:val="BodyText"/>
        <w:spacing w:before="360" w:after="120"/>
        <w:ind w:firstLine="0"/>
      </w:pPr>
      <w:r>
        <w:t xml:space="preserve">Figure </w:t>
      </w:r>
      <w:r>
        <w:t>S4</w:t>
      </w:r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r w:rsidRPr="00DA0507">
        <w:t xml:space="preserve">A </w:t>
      </w:r>
      <w:r w:rsidRPr="00DA0507">
        <w:t xml:space="preserve">Gaussian process </w:t>
      </w:r>
      <w:r w:rsidRPr="00DA0507">
        <w:t xml:space="preserve">(GP) </w:t>
      </w:r>
      <w:r w:rsidRPr="00DA0507">
        <w:t>surrogate</w:t>
      </w:r>
      <w:r w:rsidRPr="00DA0507">
        <w:t xml:space="preserve"> model</w:t>
      </w:r>
      <w:r w:rsidRPr="00DA0507">
        <w:t xml:space="preserve"> [16] </w:t>
      </w:r>
      <w:r w:rsidRPr="00DA0507">
        <w:t xml:space="preserve">was initialized using a 12-point Latin hypercube sampling (LHS) design [18] spanning the admissible parameter space and iteratively refined using </w:t>
      </w:r>
      <w:r w:rsidRPr="00DA0507">
        <w:t xml:space="preserve">the expected improvement </w:t>
      </w:r>
      <w:r w:rsidRPr="00DA0507">
        <w:t xml:space="preserve">(EI) </w:t>
      </w:r>
      <w:r w:rsidRPr="00DA0507">
        <w:t>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C34D88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>S5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C34D88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S6</w:t>
      </w:r>
      <w:r>
        <w:t xml:space="preserve">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 xml:space="preserve">Figure </w:t>
      </w:r>
      <w:r>
        <w:t>S7</w:t>
      </w:r>
      <w:r>
        <w:t xml:space="preserve"> shows the spatial evolution of oxygen and film saturation in the stent. Table </w:t>
      </w:r>
      <w:r>
        <w:t xml:space="preserve">S12 </w:t>
      </w:r>
      <w:r>
        <w:t xml:space="preserve">and Figures </w:t>
      </w:r>
      <w:r>
        <w:t>S8</w:t>
      </w:r>
      <w:r>
        <w:t xml:space="preserve"> and </w:t>
      </w:r>
      <w:r>
        <w:t>S9</w:t>
      </w:r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 xml:space="preserve">Table </w:t>
      </w:r>
      <w:r w:rsidRPr="00876655">
        <w:rPr>
          <w:b/>
          <w:bCs/>
          <w:sz w:val="20"/>
          <w:szCs w:val="20"/>
        </w:rPr>
        <w:t>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2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2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9C2A8" w14:textId="77777777" w:rsidR="00C34D88" w:rsidRDefault="00C34D88">
      <w:pPr>
        <w:spacing w:line="240" w:lineRule="auto"/>
      </w:pPr>
      <w:r>
        <w:separator/>
      </w:r>
    </w:p>
  </w:endnote>
  <w:endnote w:type="continuationSeparator" w:id="0">
    <w:p w14:paraId="39AD7A3E" w14:textId="77777777" w:rsidR="00C34D88" w:rsidRDefault="00C34D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75440" w14:textId="77777777" w:rsidR="00C34D88" w:rsidRDefault="00C34D88">
      <w:pPr>
        <w:spacing w:line="240" w:lineRule="auto"/>
      </w:pPr>
      <w:r>
        <w:separator/>
      </w:r>
    </w:p>
  </w:footnote>
  <w:footnote w:type="continuationSeparator" w:id="0">
    <w:p w14:paraId="4E766A46" w14:textId="77777777" w:rsidR="00C34D88" w:rsidRDefault="00C34D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3148</TotalTime>
  <Pages>15</Pages>
  <Words>3362</Words>
  <Characters>19166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108</cp:revision>
  <cp:lastPrinted>2026-09-27T22:37:00Z</cp:lastPrinted>
  <dcterms:created xsi:type="dcterms:W3CDTF">2026-09-27T22:41:00Z</dcterms:created>
  <dcterms:modified xsi:type="dcterms:W3CDTF">2026-10-08T22:32:00Z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