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Global O₂ mass balance added (Section S1). O₂ consumed is ~1/32 (24 h) and ~1/24 (168 h) of the stoichiometric need, so recession is not stoichiometrically coupled to O₂ consumption. Stated in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Terminology revised throughout.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Ablations show both O₂ depletion and corrosion-product accumulation cause the deceleration (D_eff = D: 0.744%; k_f = 0: 0.730%, vs 0.333% baseline at 672 h).</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Vessel geometry and liquid height now specified. Domain-size and O₂-resupply tests added. C_O₂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Calibration data (Liu et al.) are in r-SBF, with more complex chemistry (extra ions, Tris buffer, more precipitation). Validation data are in Ca/Mg-free HBSS, simpler and closer to the single ZnO phase in the model, which explains the lower validation RMSE (0.0159% vs 0.042%). The errors are not directly comparable and both are small relative to experimental scatter (SD 0.115% at 28 days, n = 3).</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Calibration RMSE 0.042% is ~24% of the mean literature value. The fit lies within experimental scatter, so validation cannot discriminate models differing by less than this.</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transition (~40 h disc, ~100 h stent) is a model prediction not validated by data. Measurements before 24 h are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optimum (0.042%, iteration 22) is 8% below the iteration-6 value (0.046%), a 0.004 percentage-point difference, negligible against experimental scatter (SD 0.115%). The plateau at ~0.058% (iterations 13–20) shows a flat landscape: seven evaluations within 0.042–0.049% span k_f 12–58, k_d 15–62 and k_ORR 0.25–0.7. Because the landscape is flat, the lowest-RMSE point was adopted and tested on independent data (validation RMSE 0.0159%; stent).</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5b) already show parameter behavior, so a separate profile likelihood is not needed. k_f is the least influential parameter (see A2.2). Among the seven fits within 0.05%, k_f and k_ORR are correlated (Spearman ρ = 0.93) while k_d is weakly constrained (15–62), so the parameters are effective and not individually interpreted.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covered the uncertain calibration parameters (ranges in Table S5).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S3.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in Eq. 14 is the interfacial Stefan-condition value, not a precipitation threshold. Eq. 11 is an effective first-order law (k_f lumps nucleation and speciation). The Zn²⁺ overprediction (57 vs ~40 mg L⁻¹) is acknowledged as a limitation.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Cl⁻ is molar, so k_d is in L² mol⁻² h⁻¹. Eq. 11 text, Table 2 and Table S5 corrected.</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in large excess (142.3 mmol L⁻¹; consumption ≤6% disc, &lt;1% stent), so it is “effectively non-consumed” (replaces “catalytic”).</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 Stated in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the final validation run (68.9 h, 50 cores). Calibration used a 0.8M-element mesh (~2 h per run), mapped to the fine mesh with 0.004% error.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mesh-converged &lt;1%,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the calibrated values (rounded: k_f = 35, k_d = 27, k_ORR = 0.5; Table 2: 35.91, 27.17, 0.51). The baseline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Results: calibration is tractable (coarse mesh, ~2 h per run; Table S4). Discussion: the high-fidelity simulations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