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color w:val="EE0000"/>
                <w:sz w:val="20"/>
              </w:rPr>
              <w:t xml:space="preserve">We thank the reviewer for this dimensional consistency check, and we confirm the estimate. In consistent units, C_O₂ = 3.5 mg L⁻¹ = 1.09 × 10⁻¹⁰ mol mm⁻³ (1 L = 10⁶ mm³) and [Zn]_sol = 7.14/65.38 g cm⁻³ = 1.09 × 10⁻⁴ mol mm⁻³. For </w:t>
            </w:r>
            <w:proofErr w:type="spellStart"/>
            <w:r w:rsidRPr="00DE6DA4">
              <w:rPr>
                <w:color w:val="EE0000"/>
                <w:sz w:val="20"/>
              </w:rPr>
              <w:t>k_ORR</w:t>
            </w:r>
            <w:proofErr w:type="spellEnd"/>
            <w:r w:rsidRPr="00DE6DA4">
              <w:rPr>
                <w:color w:val="EE0000"/>
                <w:sz w:val="20"/>
              </w:rPr>
              <w:t xml:space="preserve"> = 0.51 mm h⁻¹, Eq. 15 then gives </w:t>
            </w:r>
            <w:proofErr w:type="spellStart"/>
            <w:r w:rsidRPr="00DE6DA4">
              <w:rPr>
                <w:color w:val="EE0000"/>
                <w:sz w:val="20"/>
              </w:rPr>
              <w:t>v_ORR</w:t>
            </w:r>
            <w:proofErr w:type="spellEnd"/>
            <w:r w:rsidRPr="00DE6DA4">
              <w:rPr>
                <w:color w:val="EE0000"/>
                <w:sz w:val="20"/>
              </w:rPr>
              <w:t xml:space="preserve"> = 2 </w:t>
            </w:r>
            <w:proofErr w:type="spellStart"/>
            <w:r w:rsidRPr="00DE6DA4">
              <w:rPr>
                <w:color w:val="EE0000"/>
                <w:sz w:val="20"/>
              </w:rPr>
              <w:t>k_ORR</w:t>
            </w:r>
            <w:proofErr w:type="spellEnd"/>
            <w:r w:rsidRPr="00DE6DA4">
              <w:rPr>
                <w:color w:val="EE0000"/>
                <w:sz w:val="20"/>
              </w:rPr>
              <w:t xml:space="preserve">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w:t>
            </w:r>
            <w:proofErr w:type="spellStart"/>
            <w:r w:rsidRPr="00DE6DA4">
              <w:rPr>
                <w:color w:val="EE0000"/>
                <w:sz w:val="20"/>
              </w:rPr>
              <w:t>k_ORR</w:t>
            </w:r>
            <w:proofErr w:type="spellEnd"/>
            <w:r w:rsidRPr="00DE6DA4">
              <w:rPr>
                <w:color w:val="EE0000"/>
                <w:sz w:val="20"/>
              </w:rPr>
              <w:t xml:space="preserve">, the regularized interfacial delta function </w:t>
            </w:r>
            <w:proofErr w:type="spellStart"/>
            <w:r w:rsidRPr="00DE6DA4">
              <w:rPr>
                <w:color w:val="EE0000"/>
                <w:sz w:val="20"/>
              </w:rPr>
              <w:t>δ_Γ</w:t>
            </w:r>
            <w:proofErr w:type="spellEnd"/>
            <w:r w:rsidRPr="00DE6DA4">
              <w:rPr>
                <w:color w:val="EE0000"/>
                <w:sz w:val="20"/>
              </w:rPr>
              <w:t xml:space="preserve"> and the oxygen concentration (units, g versus mol, and the interface area scaling) and found [describe finding: e.g. the unit/definition used in the code and the correction made]. [Corrected </w:t>
            </w:r>
            <w:proofErr w:type="spellStart"/>
            <w:r w:rsidRPr="00DE6DA4">
              <w:rPr>
                <w:color w:val="EE0000"/>
                <w:sz w:val="20"/>
              </w:rPr>
              <w:t>k_ORR</w:t>
            </w:r>
            <w:proofErr w:type="spellEnd"/>
            <w:r w:rsidRPr="00DE6DA4">
              <w:rPr>
                <w:color w:val="EE0000"/>
                <w:sz w:val="20"/>
              </w:rPr>
              <w:t>, Table 2, Figures 3–8 and associated text: describe what was re-run and what changed.]</w:t>
            </w:r>
          </w:p>
        </w:tc>
        <w:tc>
          <w:tcPr>
            <w:tcW w:w="1587" w:type="dxa"/>
          </w:tcPr>
          <w:p w14:paraId="224A183E" w14:textId="77777777" w:rsidR="00660073" w:rsidRDefault="00000000">
            <w:r>
              <w:rPr>
                <w:sz w:val="20"/>
              </w:rPr>
              <w:t>Draft</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color w:val="000000"/>
                <w:sz w:val="20"/>
              </w:rPr>
              <w:t>See response to A1.1.</w:t>
            </w:r>
          </w:p>
        </w:tc>
        <w:tc>
          <w:tcPr>
            <w:tcW w:w="1587" w:type="dxa"/>
          </w:tcPr>
          <w:p w14:paraId="7DFA5F15" w14:textId="77777777" w:rsidR="00660073" w:rsidRDefault="00000000">
            <w:r>
              <w:rPr>
                <w:sz w:val="20"/>
              </w:rPr>
              <w:t>Draft</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color w:val="EE0000"/>
                <w:sz w:val="20"/>
              </w:rPr>
              <w:t xml:space="preserve">See response to A1.1. The mass-loss response for </w:t>
            </w:r>
            <w:proofErr w:type="spellStart"/>
            <w:r w:rsidRPr="00DE6DA4">
              <w:rPr>
                <w:color w:val="EE0000"/>
                <w:sz w:val="20"/>
              </w:rPr>
              <w:t>k_ORR</w:t>
            </w:r>
            <w:proofErr w:type="spellEnd"/>
            <w:r w:rsidRPr="00DE6DA4">
              <w:rPr>
                <w:color w:val="EE0000"/>
                <w:sz w:val="20"/>
              </w:rPr>
              <w:t xml:space="preserve"> = 0.1 in Figure 4c is [confirmed / re-computed] after the audit: [values].</w:t>
            </w:r>
          </w:p>
        </w:tc>
        <w:tc>
          <w:tcPr>
            <w:tcW w:w="1587" w:type="dxa"/>
          </w:tcPr>
          <w:p w14:paraId="43BEC15B" w14:textId="77777777" w:rsidR="00660073" w:rsidRDefault="00000000">
            <w:r>
              <w:rPr>
                <w:sz w:val="20"/>
              </w:rPr>
              <w:t>Draft</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color w:val="EE0000"/>
                <w:sz w:val="20"/>
              </w:rPr>
              <w:t xml:space="preserve">We checked the units and definitions of </w:t>
            </w:r>
            <w:proofErr w:type="spellStart"/>
            <w:r w:rsidRPr="00DE6DA4">
              <w:rPr>
                <w:color w:val="EE0000"/>
                <w:sz w:val="20"/>
              </w:rPr>
              <w:t>k_ORR</w:t>
            </w:r>
            <w:proofErr w:type="spellEnd"/>
            <w:r w:rsidRPr="00DE6DA4">
              <w:rPr>
                <w:color w:val="EE0000"/>
                <w:sz w:val="20"/>
              </w:rPr>
              <w:t xml:space="preserve">, </w:t>
            </w:r>
            <w:proofErr w:type="spellStart"/>
            <w:r w:rsidRPr="00DE6DA4">
              <w:rPr>
                <w:color w:val="EE0000"/>
                <w:sz w:val="20"/>
              </w:rPr>
              <w:t>δ_Γ</w:t>
            </w:r>
            <w:proofErr w:type="spellEnd"/>
            <w:r w:rsidRPr="00DE6DA4">
              <w:rPr>
                <w:color w:val="EE0000"/>
                <w:sz w:val="20"/>
              </w:rPr>
              <w:t xml:space="preserve"> and C_O₂ (see A1.1) and added a global mass-balance check, based on the stoichiometry 1 mol O</w:t>
            </w:r>
            <w:proofErr w:type="gramStart"/>
            <w:r w:rsidRPr="00DE6DA4">
              <w:rPr>
                <w:color w:val="EE0000"/>
                <w:sz w:val="20"/>
              </w:rPr>
              <w:t>₂ :</w:t>
            </w:r>
            <w:proofErr w:type="gramEnd"/>
            <w:r w:rsidRPr="00DE6DA4">
              <w:rPr>
                <w:color w:val="EE0000"/>
                <w:sz w:val="20"/>
              </w:rPr>
              <w:t xml:space="preserve"> 2 mol Zn, comparing the O₂ consumed at the interface with the Zn lost over 672 h: [result, to be added to the Supplementary Information as Section S[x]].</w:t>
            </w:r>
          </w:p>
        </w:tc>
        <w:tc>
          <w:tcPr>
            <w:tcW w:w="1587" w:type="dxa"/>
          </w:tcPr>
          <w:p w14:paraId="336D02D7" w14:textId="77777777" w:rsidR="00660073" w:rsidRDefault="00000000">
            <w:r>
              <w:rPr>
                <w:sz w:val="20"/>
              </w:rPr>
              <w:t>Draft</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color w:val="EE0000"/>
                <w:sz w:val="20"/>
              </w:rPr>
              <w:t>Confirmed; see A1.1.</w:t>
            </w:r>
          </w:p>
        </w:tc>
        <w:tc>
          <w:tcPr>
            <w:tcW w:w="1587" w:type="dxa"/>
          </w:tcPr>
          <w:p w14:paraId="379BEEF2" w14:textId="77777777" w:rsidR="00660073" w:rsidRDefault="00000000">
            <w:r>
              <w:rPr>
                <w:sz w:val="20"/>
              </w:rPr>
              <w:t>Draft</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lastRenderedPageBreak/>
              <w:t>Draft</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Draft</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Done</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Draft</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Draft</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Draft</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Draft</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color w:val="000000"/>
                <w:sz w:val="20"/>
              </w:rPr>
              <w:t>The disc and stent were simulated within the same 30×30×3030 \times 30 \times 3030×30×30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Draft</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color w:val="000000"/>
                <w:sz w:val="20"/>
              </w:rPr>
              <w:t>CO2​​=3.5 mg L−1 was adopted from physiological literature but is lower than air-saturated saline at 37 °C. Because the ORR-limited rate depends on kORR</w:t>
            </w:r>
            <w:r>
              <w:rPr>
                <w:color w:val="000000"/>
                <w:sz w:val="20"/>
              </w:rPr>
              <w:t>.</w:t>
            </w:r>
            <w:r w:rsidRPr="00CA6A0B">
              <w:rPr>
                <w:color w:val="000000"/>
                <w:sz w:val="20"/>
              </w:rPr>
              <w:t xml:space="preserve">CO2, the fitted </w:t>
            </w:r>
            <w:proofErr w:type="spellStart"/>
            <w:r>
              <w:rPr>
                <w:color w:val="000000"/>
                <w:sz w:val="20"/>
              </w:rPr>
              <w:t>kORR</w:t>
            </w:r>
            <w:proofErr w:type="spellEnd"/>
            <w:r w:rsidRPr="00CA6A0B">
              <w:rPr>
                <w:color w:val="000000"/>
                <w:sz w:val="20"/>
              </w:rPr>
              <w:t>​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CO2​​.</w:t>
            </w:r>
          </w:p>
        </w:tc>
        <w:tc>
          <w:tcPr>
            <w:tcW w:w="1587" w:type="dxa"/>
          </w:tcPr>
          <w:p w14:paraId="62E647CE" w14:textId="77777777" w:rsidR="00660073" w:rsidRDefault="00000000">
            <w:r>
              <w:rPr>
                <w:sz w:val="20"/>
              </w:rPr>
              <w:t>Draft</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color w:val="000000"/>
                <w:sz w:val="20"/>
              </w:rPr>
              <w:t>The vessel geometry and liquid height are now specified. Domain-size and oxygen-resupply sensitivity tests have been added, and the choice of CO2​​ is justified separately for the in vitro and physiological simulations.</w:t>
            </w:r>
          </w:p>
        </w:tc>
        <w:tc>
          <w:tcPr>
            <w:tcW w:w="1587" w:type="dxa"/>
          </w:tcPr>
          <w:p w14:paraId="3660970D" w14:textId="77777777" w:rsidR="00660073" w:rsidRDefault="00000000">
            <w:r>
              <w:rPr>
                <w:sz w:val="20"/>
              </w:rPr>
              <w:t>Draft</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lastRenderedPageBreak/>
              <w:t>Draft</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Draft</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Draft</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lastRenderedPageBreak/>
              <w:t>Draft</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Draft</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color w:val="000000"/>
                <w:sz w:val="20"/>
              </w:rPr>
              <w:t>We agree that oxygen-reduction-limited dissolution is a model assumption (</w:t>
            </w:r>
            <w:proofErr w:type="spellStart"/>
            <w:r>
              <w:rPr>
                <w:color w:val="000000"/>
                <w:sz w:val="20"/>
              </w:rPr>
              <w:t>Eqs</w:t>
            </w:r>
            <w:proofErr w:type="spellEnd"/>
            <w:r>
              <w:rPr>
                <w:color w:val="000000"/>
                <w:sz w:val="20"/>
              </w:rPr>
              <w:t>. 1–2), so the Morris ranking alone cannot show that oxygen controls degradation. We now state oxygen control as the modelling premise, and the evidence that it works is the model's agreement with data it was not fitted to: (</w:t>
            </w:r>
            <w:proofErr w:type="spellStart"/>
            <w:r>
              <w:rPr>
                <w:color w:val="000000"/>
                <w:sz w:val="20"/>
              </w:rPr>
              <w:t>i</w:t>
            </w:r>
            <w:proofErr w:type="spellEnd"/>
            <w:r>
              <w:rPr>
                <w:color w:val="000000"/>
                <w:sz w:val="20"/>
              </w:rPr>
              <w:t xml:space="preserve">) the 28-day immersion data, which were not used in calibration, are reproduced with RMSE = 0.0159%; (ii) the stent prediction, made without recalibration, is consistent with reported in vivo mass loss (~6%). The model is also not forced into oxygen limitation: the recession velocity </w:t>
            </w:r>
            <w:proofErr w:type="spellStart"/>
            <w:r>
              <w:rPr>
                <w:color w:val="000000"/>
                <w:sz w:val="20"/>
              </w:rPr>
              <w:t>v_n</w:t>
            </w:r>
            <w:proofErr w:type="spellEnd"/>
            <w:r>
              <w:rPr>
                <w:color w:val="000000"/>
                <w:sz w:val="20"/>
              </w:rPr>
              <w:t xml:space="preserve"> = </w:t>
            </w:r>
            <w:proofErr w:type="gramStart"/>
            <w:r>
              <w:rPr>
                <w:color w:val="000000"/>
                <w:sz w:val="20"/>
              </w:rPr>
              <w:t>min(</w:t>
            </w:r>
            <w:proofErr w:type="spellStart"/>
            <w:proofErr w:type="gramEnd"/>
            <w:r>
              <w:rPr>
                <w:color w:val="000000"/>
                <w:sz w:val="20"/>
              </w:rPr>
              <w:t>v_Zn</w:t>
            </w:r>
            <w:proofErr w:type="spellEnd"/>
            <w:r>
              <w:rPr>
                <w:color w:val="000000"/>
                <w:sz w:val="20"/>
              </w:rPr>
              <w:t xml:space="preserve">, </w:t>
            </w:r>
            <w:proofErr w:type="spellStart"/>
            <w:r>
              <w:rPr>
                <w:color w:val="000000"/>
                <w:sz w:val="20"/>
              </w:rPr>
              <w:t>v_ORR</w:t>
            </w:r>
            <w:proofErr w:type="spellEnd"/>
            <w:r>
              <w:rPr>
                <w:color w:val="000000"/>
                <w:sz w:val="20"/>
              </w:rPr>
              <w:t xml:space="preserve">, v_O2) allows a reaction-limited stage, and the results show one at early times followed by a transition to transport control. The ablations (closed vs fixed-O₂ boundary, </w:t>
            </w:r>
            <w:proofErr w:type="spellStart"/>
            <w:r>
              <w:rPr>
                <w:color w:val="000000"/>
                <w:sz w:val="20"/>
              </w:rPr>
              <w:t>D_eff</w:t>
            </w:r>
            <w:proofErr w:type="spellEnd"/>
            <w:r>
              <w:rPr>
                <w:color w:val="000000"/>
                <w:sz w:val="20"/>
              </w:rPr>
              <w:t xml:space="preserve"> = D, </w:t>
            </w:r>
            <w:proofErr w:type="spellStart"/>
            <w:r>
              <w:rPr>
                <w:color w:val="000000"/>
                <w:sz w:val="20"/>
              </w:rPr>
              <w:t>k_f</w:t>
            </w:r>
            <w:proofErr w:type="spellEnd"/>
            <w:r>
              <w:rPr>
                <w:color w:val="000000"/>
                <w:sz w:val="20"/>
              </w:rPr>
              <w:t xml:space="preserve"> = 0) show how much each mechanism contributes. This agreement supports the </w:t>
            </w:r>
            <w:r>
              <w:rPr>
                <w:color w:val="000000"/>
                <w:sz w:val="20"/>
              </w:rPr>
              <w:lastRenderedPageBreak/>
              <w:t>assumption within the tested conditions (immersion in r-SBF/HBSS; disc and stent geometries); it does not prove oxygen control in vivo, and the limitations section states this.</w:t>
            </w:r>
          </w:p>
        </w:tc>
        <w:tc>
          <w:tcPr>
            <w:tcW w:w="1587" w:type="dxa"/>
          </w:tcPr>
          <w:p w14:paraId="25737791" w14:textId="77777777" w:rsidR="003F785C" w:rsidRDefault="00E9439A">
            <w:r>
              <w:rPr>
                <w:color w:val="000000"/>
                <w:sz w:val="20"/>
              </w:rPr>
              <w:lastRenderedPageBreak/>
              <w:t>Addressed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sz w:val="20"/>
              </w:rPr>
              <w:t xml:space="preserve">A simple </w:t>
            </w:r>
            <w:proofErr w:type="gramStart"/>
            <w:r w:rsidRPr="001E7D8D">
              <w:rPr>
                <w:sz w:val="20"/>
              </w:rPr>
              <w:t>SA:</w:t>
            </w:r>
            <w:r>
              <w:rPr>
                <w:sz w:val="20"/>
              </w:rPr>
              <w:t>V</w:t>
            </w:r>
            <w:proofErr w:type="gramEnd"/>
            <w:r w:rsidRPr="001E7D8D">
              <w:rPr>
                <w:sz w:val="20"/>
              </w:rPr>
              <w:t>-scaled baseline was calculated using the disc model with the ideal disc surface area of 219.9 mm² (</w:t>
            </w:r>
            <w:proofErr w:type="gramStart"/>
            <w:r w:rsidRPr="001E7D8D">
              <w:rPr>
                <w:sz w:val="20"/>
              </w:rPr>
              <w:t>SA:V</w:t>
            </w:r>
            <w:proofErr w:type="gramEnd"/>
            <w:r w:rsidRPr="001E7D8D">
              <w:rPr>
                <w:sz w:val="20"/>
              </w:rPr>
              <w:t xml:space="preserve">=1.40), giving a predicted stent mass loss of 8.1%. This is higher than the mechanistic model prediction of 6.0%, indicating that </w:t>
            </w:r>
            <w:proofErr w:type="gramStart"/>
            <w:r w:rsidRPr="001E7D8D">
              <w:rPr>
                <w:sz w:val="20"/>
              </w:rPr>
              <w:t>SA:V</w:t>
            </w:r>
            <w:proofErr w:type="gramEnd"/>
            <w:r w:rsidRPr="001E7D8D">
              <w:rPr>
                <w:sz w:val="20"/>
              </w:rPr>
              <w:t xml:space="preserve"> scaling alone overpredicts mass loss by approximately 35%. The difference arises because simple scaling does not account for spatial oxygen depletion, transport interactions between </w:t>
            </w:r>
            <w:proofErr w:type="spellStart"/>
            <w:r w:rsidRPr="001E7D8D">
              <w:rPr>
                <w:sz w:val="20"/>
              </w:rPr>
              <w:t>neighbouring</w:t>
            </w:r>
            <w:proofErr w:type="spellEnd"/>
            <w:r w:rsidRPr="001E7D8D">
              <w:rPr>
                <w:sz w:val="20"/>
              </w:rPr>
              <w:t xml:space="preserve"> struts, or corrosion-product resistance. The mechanistic model therefore provides information beyond bulk geometric scaling, including the spatial and temporal evolution of degradation.</w:t>
            </w:r>
          </w:p>
        </w:tc>
        <w:tc>
          <w:tcPr>
            <w:tcW w:w="1587" w:type="dxa"/>
          </w:tcPr>
          <w:p w14:paraId="4CF5F1FB" w14:textId="23DF1F34" w:rsidR="004F7C38" w:rsidRDefault="004F7C38" w:rsidP="004F7C38">
            <w:r>
              <w:rPr>
                <w:color w:val="000000"/>
                <w:sz w:val="20"/>
              </w:rPr>
              <w:t>Addressed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Addressed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Addressed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Addressed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Addressed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lastRenderedPageBreak/>
              <w:t>Addressed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Addressed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Addressed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Addressed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color w:val="000000"/>
                <w:sz w:val="20"/>
              </w:rPr>
              <w:t xml:space="preserve">The sweeps in the original Fig. 4 used </w:t>
            </w:r>
            <w:proofErr w:type="spellStart"/>
            <w:r>
              <w:rPr>
                <w:color w:val="000000"/>
                <w:sz w:val="20"/>
              </w:rPr>
              <w:t>k_f</w:t>
            </w:r>
            <w:proofErr w:type="spellEnd"/>
            <w:r>
              <w:rPr>
                <w:color w:val="000000"/>
                <w:sz w:val="20"/>
              </w:rPr>
              <w:t xml:space="preserve"> = 100, </w:t>
            </w:r>
            <w:proofErr w:type="spellStart"/>
            <w:r>
              <w:rPr>
                <w:color w:val="000000"/>
                <w:sz w:val="20"/>
              </w:rPr>
              <w:t>k_d</w:t>
            </w:r>
            <w:proofErr w:type="spellEnd"/>
            <w:r>
              <w:rPr>
                <w:color w:val="000000"/>
                <w:sz w:val="20"/>
              </w:rPr>
              <w:t xml:space="preserve"> = 30 and </w:t>
            </w:r>
            <w:proofErr w:type="spellStart"/>
            <w:r>
              <w:rPr>
                <w:color w:val="000000"/>
                <w:sz w:val="20"/>
              </w:rPr>
              <w:t>k_ORR</w:t>
            </w:r>
            <w:proofErr w:type="spellEnd"/>
            <w:r>
              <w:rPr>
                <w:color w:val="000000"/>
                <w:sz w:val="20"/>
              </w:rPr>
              <w:t xml:space="preserve"> = 1.0, not the </w:t>
            </w:r>
            <w:proofErr w:type="spellStart"/>
            <w:r>
              <w:rPr>
                <w:color w:val="000000"/>
                <w:sz w:val="20"/>
              </w:rPr>
              <w:t>optimised</w:t>
            </w:r>
            <w:proofErr w:type="spellEnd"/>
            <w:r>
              <w:rPr>
                <w:color w:val="000000"/>
                <w:sz w:val="20"/>
              </w:rPr>
              <w:t xml:space="preserve"> Table 2 values, which is why the baseline gave 0.39% at 168 h against about 0.19% in Fig. 5a. We have repeated the sweeps around the calibrated baseline, varying each parameter by the same </w:t>
            </w:r>
            <w:proofErr w:type="gramStart"/>
            <w:r>
              <w:rPr>
                <w:color w:val="000000"/>
                <w:sz w:val="20"/>
              </w:rPr>
              <w:t>fold-change</w:t>
            </w:r>
            <w:proofErr w:type="gramEnd"/>
            <w:r>
              <w:rPr>
                <w:color w:val="000000"/>
                <w:sz w:val="20"/>
              </w:rPr>
              <w:t xml:space="preserve"> (×0.5 and ×2) with the other parameters fixed. The baseline curve now coincides with the calibrated simulation in Fig. 5a. [Insert the updated Fig. 4 and the revised 168 h mass-loss changes once the runs are complete.]</w:t>
            </w:r>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Addressed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color w:val="808080"/>
                <w:sz w:val="20"/>
              </w:rPr>
              <w:t>[To be completed]</w:t>
            </w:r>
          </w:p>
        </w:tc>
        <w:tc>
          <w:tcPr>
            <w:tcW w:w="1587" w:type="dxa"/>
          </w:tcPr>
          <w:p w14:paraId="0F38CB99" w14:textId="77777777" w:rsidR="003F785C" w:rsidRDefault="00E9439A">
            <w:r>
              <w:rPr>
                <w:sz w:val="20"/>
              </w:rPr>
              <w:t>Open</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lastRenderedPageBreak/>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Addressed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30D86505" w14:textId="77777777" w:rsidR="003F785C" w:rsidRDefault="00E9439A">
            <w:r>
              <w:rPr>
                <w:color w:val="000000"/>
                <w:sz w:val="20"/>
              </w:rPr>
              <w:t>Addressed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Addressed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Addressed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Addressed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Addressed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Addressed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Addressed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lastRenderedPageBreak/>
              <w:t>Addressed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