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Equations S1–S3; Table S1; </w:t>
            </w:r>
            <w:r>
              <w:rPr>
                <w:sz w:val="20"/>
                <w:szCs w:val="20"/>
              </w:rPr>
              <w:t>Figure</w:t>
            </w:r>
            <w:r>
              <w:rPr>
                <w:sz w:val="20"/>
                <w:szCs w:val="20"/>
              </w:rPr>
              <w:t xml:space="preserve">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r>
              <w:rPr>
                <w:sz w:val="20"/>
                <w:szCs w:val="20"/>
              </w:rPr>
              <w:t>S2</w:t>
            </w:r>
            <w:r>
              <w:rPr>
                <w:sz w:val="20"/>
                <w:szCs w:val="20"/>
              </w:rPr>
              <w:t>–</w:t>
            </w:r>
            <w:r>
              <w:rPr>
                <w:sz w:val="20"/>
                <w:szCs w:val="20"/>
              </w:rPr>
              <w:t>S3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r>
              <w:rPr>
                <w:sz w:val="20"/>
                <w:szCs w:val="20"/>
              </w:rPr>
              <w:t>S4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r>
              <w:rPr>
                <w:sz w:val="20"/>
                <w:szCs w:val="20"/>
              </w:rPr>
              <w:t>S5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S11; Figure S6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S12; Figures S7–S9</w:t>
            </w:r>
          </w:p>
        </w:tc>
      </w:tr>
      <w:tr w:rsidR="005639C1" w14:paraId="6D62D6EA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E2E680D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S8</w:t>
            </w:r>
          </w:p>
        </w:tc>
        <w:tc>
          <w:tcPr>
            <w:tcW w:w="4200" w:type="dxa"/>
            <w:vAlign w:val="center"/>
          </w:tcPr>
          <w:p w14:paraId="655A8A4B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Oxygen mass balance</w:t>
            </w:r>
          </w:p>
        </w:tc>
        <w:tc>
          <w:tcPr>
            <w:tcW w:w="3826" w:type="dxa"/>
            <w:vAlign w:val="center"/>
          </w:tcPr>
          <w:p w14:paraId="5D785BB3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S13</w:t>
            </w:r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27869662" w:rsidR="005639C1" w:rsidRDefault="007163D0">
      <w:pPr>
        <w:pStyle w:val="BodyText"/>
        <w:spacing w:after="120"/>
        <w:ind w:firstLine="0"/>
      </w:pPr>
      <w:r>
        <w:t xml:space="preserve">This section defines the quantities used to evaluate the simulations (Equations S1–S3) and documents the choice of velocity-selection rule (Rules A–D; Table S1 and </w:t>
      </w:r>
      <w:r>
        <w:t>Figure S1</w:t>
      </w:r>
      <w:r>
        <w:t xml:space="preserve">; the O₂ mass balance is given in Section S8</w:t>
      </w:r>
      <w:r>
        <w:t xml:space="preserve">).</w:t>
      </w:r>
    </w:p>
    <w:p w14:paraId="027A5002" w14:textId="77777777" w:rsidR="001C0510" w:rsidRPr="00A53676" w:rsidRDefault="00C34D88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C34D88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 xml:space="preserve">is the hydroxide ion concentration in the </w:t>
      </w:r>
      <w:proofErr w:type="gramStart"/>
      <w:r w:rsidRPr="00A53676">
        <w:t>electrolyte.</w:t>
      </w:r>
      <w:proofErr w:type="gramEnd"/>
    </w:p>
    <w:p w14:paraId="6CF6AD0F" w14:textId="77777777" w:rsidR="00D664E5" w:rsidRPr="002634AA" w:rsidRDefault="00C34D88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77777777" w:rsid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>
        <w:t xml:space="preserve">Rule A (hard minimum) was </w:t>
      </w:r>
      <w:r>
        <w:t xml:space="preserve">selected</w:t>
      </w:r>
      <w:r>
        <w:t xml:space="preserve"> on physical and numerical grounds</w:t>
      </w:r>
      <w:r>
        <w:t xml:space="preserve">,</w:t>
      </w:r>
      <w:r>
        <w:t xml:space="preserve"> with</w:t>
      </w:r>
      <w:r>
        <w:t xml:space="preserve"> agreement to</w:t>
      </w:r>
      <w:r>
        <w:t xml:space="preserve"> the literature data </w:t>
      </w:r>
      <w:r>
        <w:t xml:space="preserve">used only</w:t>
      </w:r>
      <w:r>
        <w:t xml:space="preserve"> as a consistency check</w:t>
      </w:r>
      <w:r>
        <w:t xml:space="preserve">.</w:t>
      </w:r>
      <w:r>
        <w:t xml:space="preserve"> </w:t>
      </w:r>
      <w:r>
        <w:t xml:space="preserve">RMSE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the selection criterion</w:t>
      </w:r>
      <w:r>
        <w:t xml:space="preserve"> because </w:t>
      </w:r>
      <w:r>
        <w:t xml:space="preserve">it</w:t>
      </w:r>
      <w:r>
        <w:t xml:space="preserve"> depends on</w:t>
      </w:r>
      <w:r>
        <w:t xml:space="preserve"> calibration and could be reduced for any rule </w:t>
      </w:r>
      <w:r>
        <w:t xml:space="preserve">through</w:t>
      </w:r>
      <w:r>
        <w:t xml:space="preserve"> </w:t>
      </w:r>
      <w:r>
        <w:t xml:space="preserve">recalibration.</w:t>
      </w:r>
      <w:r>
        <w:t xml:space="preserve"> </w:t>
      </w:r>
      <w:r>
        <w:t xml:space="preserve">Rule A reflects the physical assumption that the slowest rate-limiting process controls degradation, which is consistent with the simulations showing oxygen-diffusion control over &gt;99% of the interface at 672 h</w:t>
      </w:r>
      <w:r>
        <w:t xml:space="preserve">.</w:t>
      </w:r>
      <w:r>
        <w:t xml:space="preserve"> Rules B and C introduce additional blending terms without improving the governing physics, while Rule D removes the oxygen-diffusion constraint and substantially overpredicts mass loss (0.58% at 168 h against 0.20% in the literature data). Finally, the hard minimum caused no significant numerical issues, with only two regime transitions occurring during the initial transient.</w:t>
      </w:r>
    </w:p>
    <w:p w14:paraId="18125692" w14:textId="0D769DD7" w:rsidR="005639C1" w:rsidRDefault="007163D0">
      <w:pPr>
        <w:pStyle w:val="BodyText"/>
        <w:spacing w:after="120"/>
        <w:ind w:firstLine="0"/>
        <w:rPr/>
      </w:pP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proofErr w:type="spellStart"/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proofErr w:type="spellEnd"/>
      <w:r w:rsidRPr="0021293D">
        <w:rPr>
          <w:sz w:val="20"/>
          <w:szCs w:val="20"/>
        </w:rPr>
        <w:t>​), oxygen reduction-limited (</w:t>
      </w:r>
      <w:proofErr w:type="spellStart"/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proofErr w:type="spellEnd"/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42CBC10E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</w:t>
      </w:r>
      <w:r w:rsidRPr="00430123">
        <w:lastRenderedPageBreak/>
        <w:t xml:space="preserve">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r w:rsidRPr="00430123">
        <w:t>Medit</w:t>
      </w:r>
      <w:proofErr w:type="spellEnd"/>
      <w:r w:rsidRPr="00430123">
        <w:t xml:space="preserve"> (.mesh)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 xml:space="preserve">Table S2 and Figure </w:t>
      </w:r>
      <w:r w:rsidR="007163D0">
        <w:t>S2</w:t>
      </w:r>
      <w:r w:rsidR="007163D0">
        <w:t xml:space="preserve"> report the mesh convergence study, and Table S3 compares an adaptive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C34D88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reference mesh (21.25 million elements).</w:t>
      </w:r>
    </w:p>
    <w:p w14:paraId="05BA7C40" w14:textId="0CDC6B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Mesh convergence study showing the effect of mesh resolution on predicted 7-day mass loss. Relative errors are calculated with respect to the </w:t>
      </w:r>
      <w:r>
        <w:rPr>
          <w:b/>
          <w:bCs/>
          <w:sz w:val="20"/>
          <w:szCs w:val="20"/>
        </w:rPr>
        <w:t>reference</w:t>
      </w:r>
      <w:r w:rsidRPr="007E2F54">
        <w:rPr>
          <w:b/>
          <w:bCs/>
          <w:sz w:val="20"/>
          <w:szCs w:val="20"/>
        </w:rPr>
        <w:t xml:space="preserve"> mesh.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Comparison between an adaptive mesh and a uniform mesh </w:t>
      </w:r>
      <w:r w:rsidR="00E730F4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>approximately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800,000 elements</w:t>
      </w:r>
      <w:r w:rsidRPr="007E2F54">
        <w:rPr>
          <w:b/>
          <w:bCs/>
          <w:sz w:val="20"/>
          <w:szCs w:val="20"/>
        </w:rPr>
        <w:t>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77777777" w:rsidR="00554D08" w:rsidRDefault="00B745C1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41A97A" wp14:editId="570F813D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54593CD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t xml:space="preserve">. Mesh convergence analysis showing (a) predicted mass loss and (b) relative error as a function of mesh density. Predictions converged with mesh refinement, with &lt;1% </w:t>
      </w:r>
      <w:r>
        <w:rPr>
          <w:b/>
          <w:bCs/>
          <w:sz w:val="20"/>
          <w:szCs w:val="20"/>
        </w:rPr>
        <w:t>error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for</w:t>
      </w:r>
      <w:r w:rsidRPr="007E2F54">
        <w:rPr>
          <w:b/>
          <w:bCs/>
          <w:sz w:val="20"/>
          <w:szCs w:val="20"/>
        </w:rPr>
        <w:t xml:space="preserve"> the </w:t>
      </w:r>
      <w:r>
        <w:rPr>
          <w:b/>
          <w:bCs/>
          <w:sz w:val="20"/>
          <w:szCs w:val="20"/>
        </w:rPr>
        <w:t>final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mesh</w:t>
      </w:r>
      <w:r w:rsidRPr="007E2F54">
        <w:rPr>
          <w:b/>
          <w:bCs/>
          <w:sz w:val="20"/>
          <w:szCs w:val="20"/>
        </w:rPr>
        <w:t>.</w:t>
      </w:r>
    </w:p>
    <w:p w14:paraId="478FADA0" w14:textId="5943E1C8" w:rsidR="005639C1" w:rsidRDefault="007163D0">
      <w:pPr>
        <w:pStyle w:val="BodyText"/>
        <w:spacing w:after="120"/>
        <w:ind w:firstLine="0"/>
      </w:pPr>
      <w:r>
        <w:t xml:space="preserve">Figure </w:t>
      </w:r>
      <w:r>
        <w:t>S3</w:t>
      </w:r>
      <w:r>
        <w:t xml:space="preserve"> shows the geometries and finite-element domains used in the simulations.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11D3E016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77777777" w:rsidR="00554D08" w:rsidRDefault="00554D08" w:rsidP="00554D08">
      <w:pPr>
        <w:pStyle w:val="Heading1"/>
        <w:spacing w:after="0"/>
      </w:pPr>
      <w:r>
        <w:lastRenderedPageBreak/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</w:t>
      </w:r>
      <w:r w:rsidR="00EC20EE">
        <w:t>,</w:t>
      </w:r>
      <w:r>
        <w:t xml:space="preserve">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19.46 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53.9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lastRenderedPageBreak/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C34D8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C34D8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4DB3C510" w14:textId="70F4F986" w:rsidR="005639C1" w:rsidRDefault="007163D0">
      <w:pPr>
        <w:pStyle w:val="BodyText"/>
        <w:spacing w:before="360" w:after="120"/>
        <w:ind w:firstLine="0"/>
      </w:pPr>
      <w:r>
        <w:t xml:space="preserve">Figure </w:t>
      </w:r>
      <w:r>
        <w:t>S4</w:t>
      </w:r>
      <w:r>
        <w:t xml:space="preserve"> shows how the sensitivity indices evolve during the simulated degradation.</w:t>
      </w:r>
    </w:p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011580D2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>S5. Bayesian calibration and validation</w:t>
      </w:r>
    </w:p>
    <w:p w14:paraId="64C1FDF0" w14:textId="3A1273C3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 by minimizing the RMSE between predicted and literature-reported 14-day mass-loss measurements. </w:t>
      </w:r>
      <w:r w:rsidRPr="00DA0507">
        <w:t xml:space="preserve">A </w:t>
      </w:r>
      <w:r w:rsidRPr="00DA0507">
        <w:t xml:space="preserve">Gaussian process </w:t>
      </w:r>
      <w:r w:rsidRPr="00DA0507">
        <w:t xml:space="preserve">(GP) </w:t>
      </w:r>
      <w:r w:rsidRPr="00DA0507">
        <w:t>surrogate</w:t>
      </w:r>
      <w:r w:rsidRPr="00DA0507">
        <w:t xml:space="preserve"> model</w:t>
      </w:r>
      <w:r w:rsidRPr="00DA0507">
        <w:t xml:space="preserve"> [16] </w:t>
      </w:r>
      <w:r w:rsidRPr="00DA0507">
        <w:t xml:space="preserve">was initialized using a 12-point Latin hypercube sampling (LHS) design [18] spanning the admissible parameter space and iteratively refined using </w:t>
      </w:r>
      <w:r w:rsidRPr="00DA0507">
        <w:t xml:space="preserve">the expected improvement </w:t>
      </w:r>
      <w:r w:rsidRPr="00DA0507">
        <w:t xml:space="preserve">(EI) </w:t>
      </w:r>
      <w:r w:rsidRPr="00DA0507">
        <w:t>acquisition function [17].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C34D88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D509071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w:proofErr w:type="spellStart"/>
      <w:r>
        <w:t>MassLoss_sim</w:t>
      </w:r>
      <w:proofErr w:type="spellEnd"/>
      <w:r>
        <w:t>(</w:t>
      </w:r>
      <w:proofErr w:type="spellStart"/>
      <w:r>
        <w:t>t_i</w:t>
      </w:r>
      <w:proofErr w:type="spellEnd"/>
      <w:r>
        <w:t xml:space="preserve">) and </w:t>
      </w:r>
      <w:proofErr w:type="spellStart"/>
      <w:r>
        <w:t>MassLoss_exp</w:t>
      </w:r>
      <w:proofErr w:type="spellEnd"/>
      <w:r>
        <w:t>(</w:t>
      </w:r>
      <w:proofErr w:type="spellStart"/>
      <w:r>
        <w:t>t_i</w:t>
      </w:r>
      <w:proofErr w:type="spellEnd"/>
      <w:r>
        <w:t xml:space="preserve">) are the simulated and literature mass loss at time </w:t>
      </w:r>
      <w:proofErr w:type="spellStart"/>
      <w:r>
        <w:t>t_i</w:t>
      </w:r>
      <w:proofErr w:type="spellEnd"/>
      <w:r>
        <w:t>, respectively.</w:t>
      </w:r>
      <w:r w:rsidR="00AB5E39">
        <w:t xml:space="preserve"> </w:t>
      </w: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56C21E95" w:rsidR="005639C1" w:rsidRDefault="007163D0">
      <w:pPr>
        <w:pStyle w:val="BodyText"/>
        <w:spacing w:before="360" w:after="120"/>
        <w:ind w:firstLine="0"/>
      </w:pPr>
      <w:r>
        <w:t xml:space="preserve">Tables S8 and S9 and Figure </w:t>
      </w:r>
      <w:r>
        <w:t>S5</w:t>
      </w:r>
      <w:r>
        <w:t xml:space="preserve">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01C2AAB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2FB5E4FB" w14:textId="77777777" w:rsidR="005639C1" w:rsidRDefault="007163D0">
      <w:pPr>
        <w:pStyle w:val="BodyText"/>
        <w:spacing w:after="120"/>
        <w:ind w:firstLine="0"/>
      </w:pPr>
      <w:r>
        <w:t>Table S10 lists the settings of the Bayesian optimizer.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C34D88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</w:t>
      </w:r>
      <w:r w:rsidRPr="00F164F0">
        <w:lastRenderedPageBreak/>
        <w:t>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039DDB95" w:rsidR="005639C1" w:rsidRDefault="007163D0">
      <w:pPr>
        <w:pStyle w:val="BodyText"/>
        <w:spacing w:after="120"/>
        <w:ind w:firstLine="0"/>
      </w:pPr>
      <w:r>
        <w:t xml:space="preserve">Figure </w:t>
      </w:r>
      <w:r>
        <w:t>S6</w:t>
      </w:r>
      <w:r>
        <w:t xml:space="preserve"> shows the ensemble prediction and the distribution of mass 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7777777" w:rsidR="00876655" w:rsidRPr="00F164F0" w:rsidRDefault="00876655" w:rsidP="00876655">
      <w:pPr>
        <w:pStyle w:val="Captions"/>
        <w:spacing w:before="80" w:after="360"/>
      </w:pPr>
      <w:r w:rsidRPr="00CA2019">
        <w:rPr>
          <w:b/>
          <w:bCs/>
          <w:sz w:val="20"/>
          <w:szCs w:val="20"/>
        </w:rPr>
        <w:t xml:space="preserve">Figure </w:t>
      </w:r>
      <w:r w:rsidRPr="00CA2019">
        <w:rPr>
          <w:b/>
          <w:bCs/>
          <w:sz w:val="20"/>
          <w:szCs w:val="20"/>
        </w:rPr>
        <w:t>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04BC827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Comparison of simulated and measured mass loss in HBSS (validation) with the experimental scatter. Experimental values are mean ± SD (n = 3); |Error|/SD is the absolute error divided by the SD at the same 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04EA1288" w:rsidR="005639C1" w:rsidRDefault="007163D0">
      <w:pPr>
        <w:pStyle w:val="BodyText"/>
        <w:spacing w:after="120"/>
        <w:ind w:firstLine="0"/>
      </w:pPr>
      <w:r>
        <w:t xml:space="preserve">Figure </w:t>
      </w:r>
      <w:r>
        <w:t>S7</w:t>
      </w:r>
      <w:r>
        <w:t xml:space="preserve"> shows the spatial evolution of oxygen and film saturation in the stent. Table </w:t>
      </w:r>
      <w:r>
        <w:t xml:space="preserve">S12 </w:t>
      </w:r>
      <w:r>
        <w:t xml:space="preserve">and Figures </w:t>
      </w:r>
      <w:r>
        <w:t>S8</w:t>
      </w:r>
      <w:r>
        <w:t xml:space="preserve"> and </w:t>
      </w:r>
      <w:r>
        <w:t>S9</w:t>
      </w:r>
      <w:r>
        <w:t xml:space="preserve">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22D5A195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 xml:space="preserve">Figure </w:t>
      </w:r>
      <w:r w:rsidRPr="0021293D">
        <w:rPr>
          <w:b/>
          <w:bCs/>
          <w:sz w:val="20"/>
          <w:szCs w:val="20"/>
        </w:rPr>
        <w:t>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t xml:space="preserve">Table </w:t>
      </w:r>
      <w:r w:rsidRPr="00876655">
        <w:rPr>
          <w:b/>
          <w:bCs/>
          <w:sz w:val="20"/>
          <w:szCs w:val="20"/>
        </w:rPr>
        <w:t>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5C600A62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52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52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B7B2D63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751B7DF9" w14:textId="77777777" w:rsidR="0021293D" w:rsidRDefault="0021293D" w:rsidP="0021293D">
      <w:pPr>
        <w:pStyle w:val="Heading1"/>
        <w:rPr/>
      </w:pPr>
      <w:r>
        <w:t>S8. Oxygen mass balance</w:t>
      </w:r>
    </w:p>
    <w:p w14:paraId="3ABCAE45" w14:textId="77777777" w:rsidR="005639C1" w:rsidRDefault="007163D0">
      <w:pPr>
        <w:pStyle w:val="BodyText"/>
        <w:spacing w:after="120"/>
        <w:ind w:firstLine="0"/>
        <w:rPr/>
      </w:pPr>
      <w:r>
        <w:t xml:space="preserve">Table S13 compares the oxygen required by the reaction stoichiometry (1 mol O₂ per 2 mol Zn, </w:t>
      </w:r>
      <w:proofErr w:type="spellStart"/>
      <w:r>
        <w:t>Eqs</w:t>
      </w:r>
      <w:proofErr w:type="spellEnd"/>
      <w:r>
        <w:t xml:space="preserve">. 1–2) for the Zn lost from the disc with the oxygen removed from the electrolyte domain by the interfacial sink. The solver stores C_O₂ as a mass concentration (g mm⁻³) and evaluates the ORR recession velocity without a molar-mass conversion, which </w:t>
      </w:r>
      <w:proofErr w:type="spellStart"/>
      <w:r>
        <w:t>Eqs</w:t>
      </w:r>
      <w:proofErr w:type="spellEnd"/>
      <w:r>
        <w:t xml:space="preserve">. 15–16 represent by the factor M_O₂ = 32 (the numerical value of the molar mass of oxygen in g mol⁻¹) applied to a molar C_O₂. The recession velocity is therefore 32 times the stoichiometrically consistent value for the same </w:t>
      </w:r>
      <w:proofErr w:type="spellStart"/>
      <w:r>
        <w:t>k_ORR</w:t>
      </w:r>
      <w:proofErr w:type="spellEnd"/>
      <w:r>
        <w:t xml:space="preserve">. With this factor, the reaction-limited ceiling at </w:t>
      </w:r>
      <w:proofErr w:type="spellStart"/>
      <w:r>
        <w:t>k_ORR</w:t>
      </w:r>
      <w:proofErr w:type="spellEnd"/>
      <w:r>
        <w:t xml:space="preserve"> = 0.51 mm h⁻¹ is 0.29 mm yr⁻¹ (about 22 µm in 28 days, roughly 3% mass loss), which is above the simulated rates. The reported results are therefore consistent with the equations as written, and Zn recession is not stoichiometrically coupled to O₂ consumption.</w:t>
      </w:r>
    </w:p>
    <w:p w14:paraId="73766DCC" w14:textId="77777777" w:rsidR="009A33EE" w:rsidRDefault="009A33EE" w:rsidP="009A33EE">
      <w:pPr>
        <w:pStyle w:val="Captions"/>
        <w:keepNext/>
        <w:spacing w:before="360" w:after="80"/>
        <w:rPr/>
      </w:pPr>
      <w:r w:rsidRPr="007E2F54">
        <w:rPr>
          <w:b/>
          <w:bCs/>
          <w:sz w:val="20"/>
          <w:szCs w:val="20"/>
        </w:rPr>
        <w:lastRenderedPageBreak/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13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Oxygen required for the Zn lost (stoichiometric) compared with the oxygen consumed at the interface in disc simulations at 24 h and 168 h. The last column is the ratio of the two.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454131B8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215F18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Run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582AAF1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88D108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O₂ required (µg)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56BFE3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O₂ consumed (µg)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1A9445A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Required/consumed</w:t>
            </w:r>
          </w:p>
        </w:tc>
      </w:tr>
      <w:tr w:rsidR="003A0691" w:rsidRPr="00540DBD" w14:paraId="52FE22B7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11D4B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Baseline (</w:t>
            </w: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0.2)</w:t>
            </w:r>
          </w:p>
        </w:tc>
        <w:tc>
          <w:tcPr>
            <w:tcW w:w="2400" w:type="dxa"/>
            <w:vAlign w:val="center"/>
          </w:tcPr>
          <w:p w14:paraId="0BD5A2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1DBE01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82</w:t>
            </w:r>
          </w:p>
        </w:tc>
        <w:tc>
          <w:tcPr>
            <w:tcW w:w="1700" w:type="dxa"/>
            <w:vAlign w:val="center"/>
          </w:tcPr>
          <w:p w14:paraId="1D3B82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2.6</w:t>
            </w:r>
          </w:p>
        </w:tc>
        <w:tc>
          <w:tcPr>
            <w:tcW w:w="1976" w:type="dxa"/>
            <w:vAlign w:val="center"/>
          </w:tcPr>
          <w:p w14:paraId="0F15D0F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31.9</w:t>
            </w:r>
          </w:p>
        </w:tc>
      </w:tr>
      <w:tr w:rsidR="003A0691" w:rsidRPr="00540DBD" w14:paraId="7D2B389B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A86ACE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Baseline (</w:t>
            </w: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0.2)</w:t>
            </w:r>
          </w:p>
        </w:tc>
        <w:tc>
          <w:tcPr>
            <w:tcW w:w="2400" w:type="dxa"/>
            <w:vAlign w:val="center"/>
          </w:tcPr>
          <w:p w14:paraId="1BA425B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0348750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393</w:t>
            </w:r>
          </w:p>
        </w:tc>
        <w:tc>
          <w:tcPr>
            <w:tcW w:w="1700" w:type="dxa"/>
            <w:vAlign w:val="center"/>
          </w:tcPr>
          <w:p w14:paraId="0DBECF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16.5</w:t>
            </w:r>
          </w:p>
        </w:tc>
        <w:tc>
          <w:tcPr>
            <w:tcW w:w="1976" w:type="dxa"/>
            <w:vAlign w:val="center"/>
          </w:tcPr>
          <w:p w14:paraId="6C1859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23.8</w:t>
            </w:r>
          </w:p>
        </w:tc>
      </w:tr>
      <w:tr w:rsidR="003A0691" w:rsidRPr="00540DBD" w14:paraId="1329C55B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E27914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0.04</w:t>
            </w:r>
          </w:p>
        </w:tc>
        <w:tc>
          <w:tcPr>
            <w:tcW w:w="2400" w:type="dxa"/>
            <w:vAlign w:val="center"/>
          </w:tcPr>
          <w:p w14:paraId="4EFE7F6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146A8E6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17.5</w:t>
            </w:r>
          </w:p>
        </w:tc>
        <w:tc>
          <w:tcPr>
            <w:tcW w:w="1700" w:type="dxa"/>
            <w:vAlign w:val="center"/>
          </w:tcPr>
          <w:p w14:paraId="56E6B6A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0.5</w:t>
            </w:r>
          </w:p>
        </w:tc>
        <w:tc>
          <w:tcPr>
            <w:tcW w:w="1976" w:type="dxa"/>
            <w:vAlign w:val="center"/>
          </w:tcPr>
          <w:p w14:paraId="6BFAE4D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32.0</w:t>
            </w:r>
          </w:p>
        </w:tc>
      </w:tr>
      <w:tr w:rsidR="003A0691" w:rsidRPr="00540DBD" w14:paraId="403699B1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4484DED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0.04</w:t>
            </w:r>
          </w:p>
        </w:tc>
        <w:tc>
          <w:tcPr>
            <w:tcW w:w="2400" w:type="dxa"/>
            <w:vAlign w:val="center"/>
          </w:tcPr>
          <w:p w14:paraId="3865D3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356D812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87</w:t>
            </w:r>
          </w:p>
        </w:tc>
        <w:tc>
          <w:tcPr>
            <w:tcW w:w="1700" w:type="dxa"/>
            <w:vAlign w:val="center"/>
          </w:tcPr>
          <w:p w14:paraId="44FF71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3.8</w:t>
            </w:r>
          </w:p>
        </w:tc>
        <w:tc>
          <w:tcPr>
            <w:tcW w:w="1976" w:type="dxa"/>
            <w:vAlign w:val="center"/>
          </w:tcPr>
          <w:p w14:paraId="16BBDD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23.2</w:t>
            </w:r>
          </w:p>
        </w:tc>
      </w:tr>
      <w:tr w:rsidR="003A0691" w:rsidRPr="00540DBD" w14:paraId="74430C5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09B2E2B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1</w:t>
            </w:r>
          </w:p>
        </w:tc>
        <w:tc>
          <w:tcPr>
            <w:tcW w:w="2400" w:type="dxa"/>
            <w:vAlign w:val="center"/>
          </w:tcPr>
          <w:p w14:paraId="2EB0179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3484D9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330</w:t>
            </w:r>
          </w:p>
        </w:tc>
        <w:tc>
          <w:tcPr>
            <w:tcW w:w="1700" w:type="dxa"/>
            <w:vAlign w:val="center"/>
          </w:tcPr>
          <w:p w14:paraId="6787136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976" w:type="dxa"/>
            <w:vAlign w:val="center"/>
          </w:tcPr>
          <w:p w14:paraId="4400F85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32.9</w:t>
            </w:r>
          </w:p>
        </w:tc>
      </w:tr>
      <w:tr w:rsidR="003A0691" w:rsidRPr="00540DBD" w14:paraId="13F6E0E1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4B3D92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1</w:t>
            </w:r>
          </w:p>
        </w:tc>
        <w:tc>
          <w:tcPr>
            <w:tcW w:w="2400" w:type="dxa"/>
            <w:vAlign w:val="center"/>
          </w:tcPr>
          <w:p w14:paraId="14343A5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32AF5DA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1239</w:t>
            </w:r>
          </w:p>
        </w:tc>
        <w:tc>
          <w:tcPr>
            <w:tcW w:w="1700" w:type="dxa"/>
            <w:vAlign w:val="center"/>
          </w:tcPr>
          <w:p w14:paraId="0CA9543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1976" w:type="dxa"/>
            <w:vAlign w:val="center"/>
          </w:tcPr>
          <w:p w14:paraId="570FCB4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24.8</w:t>
            </w:r>
          </w:p>
        </w:tc>
      </w:tr>
    </w:tbl>
    <w:p w14:paraId="011DC90C" w14:textId="77777777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</w:t>
      </w:r>
      <w:proofErr w:type="spellStart"/>
      <w:r>
        <w:rPr>
          <w:sz w:val="20"/>
        </w:rPr>
        <w:t>Dobrzynski</w:t>
      </w:r>
      <w:proofErr w:type="spellEnd"/>
      <w:r>
        <w:rPr>
          <w:sz w:val="20"/>
        </w:rPr>
        <w:t xml:space="preserve">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</w:t>
      </w:r>
      <w:proofErr w:type="spellStart"/>
      <w:r>
        <w:rPr>
          <w:sz w:val="20"/>
        </w:rPr>
        <w:t>Balay</w:t>
      </w:r>
      <w:proofErr w:type="spellEnd"/>
      <w:r>
        <w:rPr>
          <w:sz w:val="20"/>
        </w:rPr>
        <w:t xml:space="preserve">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</w:t>
      </w:r>
      <w:proofErr w:type="spellStart"/>
      <w:r>
        <w:rPr>
          <w:sz w:val="20"/>
        </w:rPr>
        <w:t>Fagg</w:t>
      </w:r>
      <w:proofErr w:type="spellEnd"/>
      <w:r>
        <w:rPr>
          <w:sz w:val="20"/>
        </w:rPr>
        <w:t xml:space="preserve">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 xml:space="preserve">, J. </w:t>
      </w:r>
      <w:proofErr w:type="spellStart"/>
      <w:r>
        <w:rPr>
          <w:sz w:val="20"/>
        </w:rPr>
        <w:t>Dongarra</w:t>
      </w:r>
      <w:proofErr w:type="spellEnd"/>
      <w:r>
        <w:rPr>
          <w:sz w:val="20"/>
        </w:rPr>
        <w:t>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</w:t>
      </w:r>
      <w:proofErr w:type="spellStart"/>
      <w:r>
        <w:rPr>
          <w:sz w:val="20"/>
        </w:rPr>
        <w:t>Schönberger</w:t>
      </w:r>
      <w:proofErr w:type="spellEnd"/>
      <w:r>
        <w:rPr>
          <w:sz w:val="20"/>
        </w:rPr>
        <w:t xml:space="preserve">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</w:t>
      </w:r>
      <w:proofErr w:type="spellStart"/>
      <w:r>
        <w:rPr>
          <w:sz w:val="20"/>
        </w:rPr>
        <w:t>Schlömer</w:t>
      </w:r>
      <w:proofErr w:type="spellEnd"/>
      <w:r>
        <w:rPr>
          <w:sz w:val="20"/>
        </w:rPr>
        <w:t xml:space="preserve">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Open Source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</w:t>
      </w:r>
      <w:proofErr w:type="spellStart"/>
      <w:r>
        <w:rPr>
          <w:sz w:val="20"/>
        </w:rPr>
        <w:t>Schonlau</w:t>
      </w:r>
      <w:proofErr w:type="spellEnd"/>
      <w:r>
        <w:rPr>
          <w:sz w:val="20"/>
        </w:rPr>
        <w:t xml:space="preserve">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 xml:space="preserve">M. D. McKay,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 xml:space="preserve">L. Liu, Y. Meng, C. Dong, Y. Yan, A. A. </w:t>
      </w:r>
      <w:proofErr w:type="spellStart"/>
      <w:r>
        <w:rPr>
          <w:sz w:val="20"/>
        </w:rPr>
        <w:t>Volinsky</w:t>
      </w:r>
      <w:proofErr w:type="spellEnd"/>
      <w:r>
        <w:rPr>
          <w:sz w:val="20"/>
        </w:rPr>
        <w:t>, L.-N. Wang, J. Mater. Sci. Technol. 2018, 34, 2271. https://doi.org/10.1016/j.jmst.2018.05.005.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49C2A8" w14:textId="77777777" w:rsidR="00C34D88" w:rsidRDefault="00C34D88">
      <w:pPr>
        <w:spacing w:line="240" w:lineRule="auto"/>
      </w:pPr>
      <w:r>
        <w:separator/>
      </w:r>
    </w:p>
  </w:endnote>
  <w:endnote w:type="continuationSeparator" w:id="0">
    <w:p w14:paraId="39AD7A3E" w14:textId="77777777" w:rsidR="00C34D88" w:rsidRDefault="00C34D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775440" w14:textId="77777777" w:rsidR="00C34D88" w:rsidRDefault="00C34D88">
      <w:pPr>
        <w:spacing w:line="240" w:lineRule="auto"/>
      </w:pPr>
      <w:r>
        <w:separator/>
      </w:r>
    </w:p>
  </w:footnote>
  <w:footnote w:type="continuationSeparator" w:id="0">
    <w:p w14:paraId="4E766A46" w14:textId="77777777" w:rsidR="00C34D88" w:rsidRDefault="00C34D8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860BF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730F4"/>
    <w:rsid w:val="00EA180F"/>
    <w:rsid w:val="00EC20EE"/>
    <w:rsid w:val="00ED14A2"/>
    <w:rsid w:val="00F07903"/>
    <w:rsid w:val="00F121A4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3148</TotalTime>
  <Pages>15</Pages>
  <Words>3362</Words>
  <Characters>19166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108</cp:revision>
  <cp:lastPrinted>2026-09-27T22:37:00Z</cp:lastPrinted>
  <dcterms:created xsi:type="dcterms:W3CDTF">2026-09-27T22:41:00Z</dcterms:created>
  <dcterms:modified xsi:type="dcterms:W3CDTF">2026-10-08T22:32:00Z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