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experimental </w:t>
      </w:r>
      <w:r>
        <w:rPr>
          <w:rFonts w:cs="Times New Roman"/>
        </w:rPr>
        <w:t>Zn</w:t>
      </w:r>
      <w:r w:rsidRPr="007E2F54">
        <w:rPr>
          <w:rFonts w:cs="Times New Roman"/>
        </w:rPr>
        <w:t xml:space="preserve"> degradation data.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Experimental and predicted cumulative mass loss obtained using four velocity-selection formulations. Rule A (hard minimum) </w:t>
      </w:r>
      <w:r>
        <w:rPr>
          <w:b w:val="0"/>
          <w:sz w:val="20"/>
          <w:szCs w:val="20"/>
        </w:rPr>
        <w:t>best matched</w:t>
      </w:r>
      <w:r w:rsidRPr="001D3A0A">
        <w:rPr>
          <w:b w:val="0"/>
          <w:sz w:val="20"/>
          <w:szCs w:val="20"/>
        </w:rPr>
        <w:t xml:space="preserve"> the experimental data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experimental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4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>Bayesian calibration results: (a) simulated and experimental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