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S11;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The Bayesian optimization used a Gaussian process surrogate [16] with the expected improvement acquisition function [17], initialized with a Latin hypercube design [18].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S7. Case-study results</w:t>
      </w:r>
    </w:p>
    <w:p>
      <w:pPr>
        <w:pStyle w:val="BodyText"/>
        <w:spacing w:before="0" w:after="120" w:line="360" w:lineRule="auto"/>
        <w:ind w:firstLine="0"/>
        <w:jc w:val="both"/>
      </w:pPr>
      <w:r>
        <w:t>Figure S8 shows the spatial evolution of oxygen and film saturation in the stent. Table S11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11</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