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>Henaka Ariyarathna, Xuan Yang, Aijun Huang, Yunlong Tang</w:t>
      </w:r>
      <w:r>
        <w:rPr>
          <w:vertAlign w:val="superscript"/>
        </w:rPr>
        <w:t>*</w:t>
      </w:r>
      <w:r>
        <w:t>, Yuman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5DB162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interface velocity</w:t>
            </w:r>
          </w:p>
        </w:tc>
        <w:tc>
          <w:tcPr>
            <w:tcW w:w="3826" w:type="dxa"/>
            <w:vAlign w:val="center"/>
          </w:tcPr>
          <w:p w14:paraId="7C71BF13" w14:textId="791B4F23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27B7DEBD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S4; Tables S2–S3; Figures S1–S2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53E8B739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S3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ins w:id="9027" w:author="Claude" w:date="2026-10-09T21:46:25Z">
              <w:r>
                <w:rPr>
                  <w:sz w:val="20"/>
                  <w:szCs w:val="20"/>
                </w:rPr>
                <w:t xml:space="preserve">Calibration by </w:t>
              </w:r>
            </w:ins>
            <w:r>
              <w:rPr>
                <w:sz w:val="20"/>
                <w:szCs w:val="20"/>
              </w:rPr>
              <w:t xml:space="preserve">Bayesian </w:t>
            </w:r>
            <w:del w:id="9026" w:author="Claude" w:date="2026-10-09T21:46:25Z">
              <w:r>
                <w:rPr>
                  <w:sz w:val="20"/>
                  <w:szCs w:val="20"/>
                </w:rPr>
                <w:delText xml:space="preserve">calibration</w:delText>
              </w:r>
            </w:del>
            <w:ins w:id="9025" w:author="Claude" w:date="2026-10-09T21:46:25Z">
              <w:r>
                <w:rPr>
                  <w:sz w:val="20"/>
                  <w:szCs w:val="20"/>
                </w:rPr>
                <w:t xml:space="preserve">optimization</w:t>
              </w:r>
            </w:ins>
            <w:r>
              <w:rPr>
                <w:sz w:val="20"/>
                <w:szCs w:val="20"/>
              </w:rPr>
              <w:t xml:space="preserve"> and validation</w:t>
            </w:r>
          </w:p>
        </w:tc>
        <w:tc>
          <w:tcPr>
            <w:tcW w:w="3826" w:type="dxa"/>
            <w:vAlign w:val="center"/>
          </w:tcPr>
          <w:p w14:paraId="4B70AB4F" w14:textId="21C9F940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S5; Tables S7–S10; Figure S4</w:t>
            </w:r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5C6BC32C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 S5</w:t>
            </w:r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1676EE1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S12; Figures S6–S8</w:t>
            </w:r>
          </w:p>
        </w:tc>
      </w:tr>
    </w:tbl>
    <w:p w14:paraId="03DBB6A3" w14:textId="2815B390" w:rsidR="003D0986" w:rsidRDefault="001C0510" w:rsidP="00BE6B79">
      <w:pPr>
        <w:pStyle w:val="Heading1"/>
        <w:pageBreakBefore/>
        <w:spacing w:before="360"/>
      </w:pPr>
      <w:r>
        <w:t>S1. Model equations and interface velocity</w:t>
      </w:r>
    </w:p>
    <w:p w14:paraId="027A5002" w14:textId="77777777" w:rsidR="001C0510" w:rsidRPr="00A53676" w:rsidRDefault="0000000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00000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6CF6AD0F" w14:textId="77777777" w:rsidR="00D664E5" w:rsidRPr="002634AA" w:rsidRDefault="00000000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02C2AC2C" w14:textId="5CAF58E2" w:rsidR="005639C1" w:rsidRDefault="00554D08">
      <w:pPr>
        <w:pStyle w:val="BodyText"/>
        <w:spacing w:after="120"/>
        <w:ind w:firstLine="0"/>
      </w:pPr>
      <w:r w:rsidRPr="00430123">
        <w:t>At the metal–electrolyte interface, the oxygen flux supplied by diffusion equals the oxygen consumed by the cathodic reaction (Robin condition):</w:t>
      </w:r>
    </w:p>
    <w:p w14:paraId="3ECCFA25" w14:textId="77777777" w:rsidR="005639C1" w:rsidRDefault="00554D08">
      <w:pPr>
        <w:pStyle w:val="BodyText"/>
        <w:spacing w:after="120"/>
        <w:ind w:firstLine="0"/>
      </w:pPr>
      <m:oMathPara>
        <m:oMath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eff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∂n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ORR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O₂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</m:oMath>
      </m:oMathPara>
    </w:p>
    <w:p w14:paraId="39446F45" w14:textId="77777777" w:rsidR="005639C1" w:rsidRDefault="00554D08">
      <w:pPr>
        <w:pStyle w:val="BodyText"/>
        <w:spacing w:after="120"/>
        <w:ind w:firstLine="0"/>
      </w:pPr>
      <w:r w:rsidRPr="00430123">
        <w:t>Over a transport length δ, with C</w:t>
      </w:r>
      <w:r w:rsidRPr="00430123">
        <w:rPr>
          <w:vertAlign w:val="subscript"/>
        </w:rPr>
        <w:t>b</w:t>
      </w:r>
      <w:r w:rsidRPr="00430123">
        <w:t xml:space="preserve"> the oxygen concentration outside the depleted layer, the supplied flux is D</w:t>
      </w:r>
      <w:r w:rsidRPr="00430123">
        <w:rPr>
          <w:vertAlign w:val="subscript"/>
        </w:rPr>
        <w:t>O2,eff</w:t>
      </w:r>
      <w:r w:rsidRPr="00430123">
        <w:t>(C</w:t>
      </w:r>
      <w:r w:rsidRPr="00430123">
        <w:rPr>
          <w:vertAlign w:val="subscript"/>
        </w:rPr>
        <w:t>b</w:t>
      </w:r>
      <w:r w:rsidRPr="00430123">
        <w:t xml:space="preserve"> − 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>)/δ. Equating it to k</w:t>
      </w:r>
      <w:r w:rsidRPr="00430123">
        <w:rPr>
          <w:vertAlign w:val="subscript"/>
        </w:rPr>
        <w:t>ORR</w:t>
      </w:r>
      <w:r w:rsidRPr="00430123">
        <w:t>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 xml:space="preserve"> gives 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 xml:space="preserve"> = C</w:t>
      </w:r>
      <w:r w:rsidRPr="00430123">
        <w:rPr>
          <w:vertAlign w:val="subscript"/>
        </w:rPr>
        <w:t>b</w:t>
      </w:r>
      <w:r w:rsidRPr="00430123">
        <w:t>/(1 + k</w:t>
      </w:r>
      <w:r w:rsidRPr="00430123">
        <w:rPr>
          <w:vertAlign w:val="subscript"/>
        </w:rPr>
        <w:t>ORR</w:t>
      </w:r>
      <w:r w:rsidRPr="00430123">
        <w:t>δ/D</w:t>
      </w:r>
      <w:r w:rsidRPr="00430123">
        <w:rPr>
          <w:vertAlign w:val="subscript"/>
        </w:rPr>
        <w:t>O2,eff</w:t>
      </w:r>
      <w:r w:rsidRPr="00430123">
        <w:t>), so the interfacial flux is the series (harmonic) combination of the reaction and transport resistances:</w:t>
      </w:r>
    </w:p>
    <w:p w14:paraId="116D8C3A" w14:textId="77777777" w:rsidR="005639C1" w:rsidRDefault="00000000">
      <w:pPr>
        <w:pStyle w:val="BodyText"/>
        <w:spacing w:after="120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O₂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O₂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eff</m:t>
                      </m:r>
                    </m:sup>
                  </m:sSup>
                </m:den>
              </m:f>
            </m:den>
          </m:f>
        </m:oMath>
      </m:oMathPara>
    </w:p>
    <w:p w14:paraId="74585EDB" w14:textId="77777777" w:rsidR="005639C1" w:rsidRDefault="00554D08">
      <w:pPr>
        <w:pStyle w:val="BodyText"/>
        <w:spacing w:after="120"/>
        <w:ind w:firstLine="0"/>
      </w:pPr>
      <w:r w:rsidRPr="00430123">
        <w:t>Interface velocity. Each mole of O₂ reduced at the interface removes two moles of Zn (O₂ + 2Zn + 2H₂O → 2Zn²⁺ + 4OH⁻), so the normal velocity of the level set is</w:t>
      </w:r>
    </w:p>
    <w:p w14:paraId="7D3BE2C7" w14:textId="77777777" w:rsidR="005639C1" w:rsidRDefault="00000000">
      <w:pPr>
        <w:pStyle w:val="BodyText"/>
        <w:spacing w:after="120"/>
        <w:ind w:firstLine="0"/>
        <w:rPr>
          <w:ins w:id="0" w:author="Claude" w:date="2026-10-09T04:34:00Z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ORR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|</m:t>
                  </m:r>
                </m:e>
                <m:sub>
                  <m:r>
                    <w:rPr>
                      <w:rFonts w:ascii="Cambria Math" w:hAnsi="Cambria Math"/>
                    </w:rPr>
                    <m:t>Γ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[Zn]</m:t>
                  </m:r>
                </m:e>
                <m:sub>
                  <m:r>
                    <w:rPr>
                      <w:rFonts w:ascii="Cambria Math" w:hAnsi="Cambria Math"/>
                    </w:rPr>
                    <m:t>sol</m:t>
                  </m:r>
                </m:sub>
              </m:sSub>
            </m:den>
          </m:f>
        </m:oMath>
      </m:oMathPara>
    </w:p>
    <w:p w14:paraId="7FD030E7" w14:textId="741AC092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>Table S1. Limiting regimes of the interfacial oxygen flux.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sz w:val="20"/>
          <w:szCs w:val="20"/>
        </w:rPr>
        <w:fldChar w:fldCharType="end"/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67DB9428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CBDC4F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Regime</w:t>
            </w:r>
          </w:p>
        </w:tc>
        <w:tc>
          <w:tcPr>
            <w:tcW w:w="3009" w:type="dxa"/>
            <w:vAlign w:val="center"/>
          </w:tcPr>
          <w:p w14:paraId="773A864E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Condition</w:t>
            </w:r>
          </w:p>
        </w:tc>
        <w:tc>
          <w:tcPr>
            <w:tcW w:w="3008" w:type="dxa"/>
            <w:vAlign w:val="center"/>
          </w:tcPr>
          <w:p w14:paraId="1B3F5639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Interfacial flux J_O₂</w:t>
            </w:r>
          </w:p>
        </w:tc>
      </w:tr>
      <w:tr w:rsidR="00F36A97" w:rsidRPr="00F36A97" w14:paraId="07EBB006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6DCFBF5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Reaction-controlled</w:t>
            </w:r>
          </w:p>
        </w:tc>
        <w:tc>
          <w:tcPr>
            <w:tcW w:w="3009" w:type="dxa"/>
            <w:vAlign w:val="center"/>
          </w:tcPr>
          <w:p w14:paraId="55ED1DC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≪ 1</w:t>
            </w:r>
          </w:p>
        </w:tc>
        <w:tc>
          <w:tcPr>
            <w:tcW w:w="3008" w:type="dxa"/>
            <w:vAlign w:val="center"/>
          </w:tcPr>
          <w:p w14:paraId="049CA17B" w14:textId="4C8F7D34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k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ORR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</w:p>
        </w:tc>
      </w:tr>
      <w:tr w:rsidR="00F36A97" w:rsidRPr="00F36A97" w14:paraId="09BDC804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7CC7C77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Transition</w:t>
            </w:r>
          </w:p>
        </w:tc>
        <w:tc>
          <w:tcPr>
            <w:tcW w:w="3009" w:type="dxa"/>
            <w:vAlign w:val="center"/>
          </w:tcPr>
          <w:p w14:paraId="7ACFDA7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≈ 1</w:t>
            </w:r>
          </w:p>
        </w:tc>
        <w:tc>
          <w:tcPr>
            <w:tcW w:w="3008" w:type="dxa"/>
            <w:vAlign w:val="center"/>
          </w:tcPr>
          <w:p w14:paraId="12FCDD2D" w14:textId="7D1768FA" w:rsidR="00F36A97" w:rsidRPr="00F36A97" w:rsidRDefault="00ED13DA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/(1/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k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ORR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 xml:space="preserve"> + δ/D</w:t>
            </w:r>
            <w:r w:rsidR="00F36A97"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O₂</w:t>
            </w:r>
            <w:r w:rsidR="00F36A97" w:rsidRPr="00ED13DA">
              <w:rPr>
                <w:rFonts w:cs="Times New Roman"/>
                <w:sz w:val="20"/>
                <w:szCs w:val="20"/>
                <w:vertAlign w:val="superscript"/>
                <w:lang w:eastAsia="en-US"/>
              </w:rPr>
              <w:t>eff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)</w:t>
            </w:r>
          </w:p>
        </w:tc>
      </w:tr>
      <w:tr w:rsidR="00F36A97" w:rsidRPr="00F36A97" w14:paraId="04D8CAE8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0AEEB9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Diffusion-controlled</w:t>
            </w:r>
          </w:p>
        </w:tc>
        <w:tc>
          <w:tcPr>
            <w:tcW w:w="3009" w:type="dxa"/>
            <w:vAlign w:val="center"/>
          </w:tcPr>
          <w:p w14:paraId="618FD04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≫ 1</w:t>
            </w:r>
          </w:p>
        </w:tc>
        <w:tc>
          <w:tcPr>
            <w:tcW w:w="3008" w:type="dxa"/>
            <w:vAlign w:val="center"/>
          </w:tcPr>
          <w:p w14:paraId="6536DD68" w14:textId="541FCBF3" w:rsidR="00F36A97" w:rsidRPr="00F36A97" w:rsidRDefault="00ED13DA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O₂</w:t>
            </w:r>
            <w:r w:rsidRPr="00ED13DA">
              <w:rPr>
                <w:rFonts w:cs="Times New Roman"/>
                <w:sz w:val="20"/>
                <w:szCs w:val="20"/>
                <w:vertAlign w:val="superscript"/>
                <w:lang w:eastAsia="en-US"/>
              </w:rPr>
              <w:t>eff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>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/δ</w:t>
            </w:r>
          </w:p>
        </w:tc>
      </w:tr>
    </w:tbl>
    <w:p w14:paraId="0BECDDE2" w14:textId="595E96F1" w:rsidR="005639C1" w:rsidRDefault="00554D08">
      <w:pPr>
        <w:pStyle w:val="BodyText"/>
        <w:spacing w:after="120"/>
        <w:ind w:firstLine="0"/>
        <w:rPr>
          <w:ins w:id="20024" w:author="Claude" w:date="2026-10-09T22:36:37Z"/>
        </w:rPr>
      </w:pPr>
      <w:ins w:id="20001" w:author="Claude" w:date="2026-10-09T22:36:37Z">
        <w:r w:rsidRPr="00430123">
          <w:t xml:space="preserve">Interfacial balance and units. The interface couples O₂ consumption, Zn²⁺ release, OH⁻ generation and metal loss through the reaction above: for each mole of O₂ consumed by the Robin sink, two moles of Zn leave the metal and 2 mol Zn²⁺ and 4 mol OH⁻ are released, so the Zn source in the Zn equation equals ρ</w:t>
        </w:r>
      </w:ins>
      <w:ins w:id="20002" w:author="Claude" w:date="2026-10-09T22:36:37Z">
        <w:r w:rsidRPr="00430123">
          <w:rPr>
            <w:vertAlign w:val="subscript"/>
          </w:rPr>
          <w:t xml:space="preserve">Zn</w:t>
        </w:r>
      </w:ins>
      <w:ins w:id="20003" w:author="Claude" w:date="2026-10-09T22:36:37Z">
        <w:r w:rsidRPr="00430123">
          <w:t xml:space="preserve">|v</w:t>
        </w:r>
      </w:ins>
      <w:ins w:id="20004" w:author="Claude" w:date="2026-10-09T22:36:37Z">
        <w:r w:rsidRPr="00430123">
          <w:rPr>
            <w:vertAlign w:val="subscript"/>
          </w:rPr>
          <w:t xml:space="preserve">n</w:t>
        </w:r>
      </w:ins>
      <w:ins w:id="20005" w:author="Claude" w:date="2026-10-09T22:36:37Z">
        <w:r w:rsidRPr="00430123">
          <w:t xml:space="preserve">|. In the code, species fields are mass-based (g mm⁻³; OH⁻ in mol L⁻¹), with k</w:t>
        </w:r>
      </w:ins>
      <w:ins w:id="20006" w:author="Claude" w:date="2026-10-09T22:36:37Z">
        <w:r w:rsidRPr="00430123">
          <w:rPr>
            <w:vertAlign w:val="subscript"/>
          </w:rPr>
          <w:t xml:space="preserve">ORR</w:t>
        </w:r>
      </w:ins>
      <w:ins w:id="20007" w:author="Claude" w:date="2026-10-09T22:36:37Z">
        <w:r w:rsidRPr="00430123">
          <w:t xml:space="preserve"> in mm h⁻¹, k</w:t>
        </w:r>
      </w:ins>
      <w:ins w:id="20008" w:author="Claude" w:date="2026-10-09T22:36:37Z">
        <w:r w:rsidRPr="00430123">
          <w:rPr>
            <w:vertAlign w:val="subscript"/>
          </w:rPr>
          <w:t xml:space="preserve">f</w:t>
        </w:r>
      </w:ins>
      <w:ins w:id="20009" w:author="Claude" w:date="2026-10-09T22:36:37Z">
        <w:r w:rsidRPr="00430123">
          <w:t xml:space="preserve"> in h⁻¹, diffusivities in mm² h⁻¹ and k</w:t>
        </w:r>
      </w:ins>
      <w:ins w:id="20010" w:author="Claude" w:date="2026-10-09T22:36:37Z">
        <w:r w:rsidRPr="00430123">
          <w:rPr>
            <w:vertAlign w:val="subscript"/>
          </w:rPr>
          <w:t xml:space="preserve">d</w:t>
        </w:r>
      </w:ins>
      <w:ins w:id="20011" w:author="Claude" w:date="2026-10-09T22:36:37Z">
        <w:r w:rsidRPr="00430123">
          <w:t xml:space="preserve"> in mm⁶ g⁻² h⁻¹; the molar k</w:t>
        </w:r>
      </w:ins>
      <w:ins w:id="20012" w:author="Claude" w:date="2026-10-09T22:36:37Z">
        <w:r w:rsidRPr="00430123">
          <w:rPr>
            <w:vertAlign w:val="subscript"/>
          </w:rPr>
          <w:t xml:space="preserve">d</w:t>
        </w:r>
      </w:ins>
      <w:ins w:id="20013" w:author="Claude" w:date="2026-10-09T22:36:37Z">
        <w:r w:rsidRPr="00430123">
          <w:t xml:space="preserve"> of the Cl⁻ term (L² mol⁻² h⁻¹) equals k</w:t>
        </w:r>
      </w:ins>
      <w:ins w:id="20014" w:author="Claude" w:date="2026-10-09T22:36:37Z">
        <w:r w:rsidRPr="00430123">
          <w:rPr>
            <w:vertAlign w:val="subscript"/>
          </w:rPr>
          <w:t xml:space="preserve">d</w:t>
        </w:r>
      </w:ins>
      <w:ins w:id="20015" w:author="Claude" w:date="2026-10-09T22:36:37Z">
        <w:r w:rsidRPr="00430123">
          <w:t xml:space="preserve"> (mm⁶ g⁻² h⁻¹) divided by (10⁶/M</w:t>
        </w:r>
      </w:ins>
      <w:ins w:id="20016" w:author="Claude" w:date="2026-10-09T22:36:37Z">
        <w:r w:rsidRPr="00430123">
          <w:rPr>
            <w:vertAlign w:val="subscript"/>
          </w:rPr>
          <w:t xml:space="preserve">Cl</w:t>
        </w:r>
      </w:ins>
      <w:ins w:id="20017" w:author="Claude" w:date="2026-10-09T22:36:37Z">
        <w:r w:rsidRPr="00430123">
          <w:t xml:space="preserve">)² ≈ 8.0 × 10⁸. Concentrations in figures are given in mg L⁻¹; mmol L⁻¹ = (mg L⁻¹)/M, with M</w:t>
        </w:r>
      </w:ins>
      <w:ins w:id="20018" w:author="Claude" w:date="2026-10-09T22:36:37Z">
        <w:r w:rsidRPr="00430123">
          <w:rPr>
            <w:vertAlign w:val="subscript"/>
          </w:rPr>
          <w:t xml:space="preserve">Zn</w:t>
        </w:r>
      </w:ins>
      <w:ins w:id="20019" w:author="Claude" w:date="2026-10-09T22:36:37Z">
        <w:r w:rsidRPr="00430123">
          <w:t xml:space="preserve"> = 65.38, M</w:t>
        </w:r>
      </w:ins>
      <w:ins w:id="20020" w:author="Claude" w:date="2026-10-09T22:36:37Z">
        <w:r w:rsidRPr="00430123">
          <w:rPr>
            <w:vertAlign w:val="subscript"/>
          </w:rPr>
          <w:t xml:space="preserve">O2</w:t>
        </w:r>
      </w:ins>
      <w:ins w:id="20021" w:author="Claude" w:date="2026-10-09T22:36:37Z">
        <w:r w:rsidRPr="00430123">
          <w:t xml:space="preserve"> = 32.00 and M</w:t>
        </w:r>
      </w:ins>
      <w:ins w:id="20022" w:author="Claude" w:date="2026-10-09T22:36:37Z">
        <w:r w:rsidRPr="00430123">
          <w:rPr>
            <w:vertAlign w:val="subscript"/>
          </w:rPr>
          <w:t xml:space="preserve">Cl</w:t>
        </w:r>
      </w:ins>
      <w:ins w:id="20023" w:author="Claude" w:date="2026-10-09T22:36:37Z">
        <w:r w:rsidRPr="00430123">
          <w:t xml:space="preserve"> = 35.45 g mol⁻¹.</w:t>
        </w:r>
      </w:ins>
    </w:p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BECDDE2" w14:textId="595E96F1" w:rsidR="005639C1" w:rsidRDefault="00554D08">
      <w:pPr>
        <w:pStyle w:val="BodyText"/>
        <w:spacing w:after="120"/>
        <w:ind w:firstLine="0"/>
      </w:pPr>
      <w:r w:rsidRPr="00430123">
        <w:t>STL implant geometries were converted into tetrahedral finite-element meshes using a Gmsh (v4.13.1)-based workflow [1], with TetGen [2] for tetrahedralization and MMG [3] for adaptive remeshing. Adaptive refinement was applied at the Zn-electrolyte interface, and the resulting Zn-electrolyte meshes were exported in FreeFEM/Medit (.mesh) format for all simulations in FreeFEM (v4.14) [4].</w:t>
      </w:r>
      <w:r>
        <w:t xml:space="preserve"> </w:t>
      </w:r>
      <w:r w:rsidR="007163D0">
        <w:t>Table S2 and Figure S1 report the mesh convergence study, and Table S3 compares an adaptive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mesh:</w:t>
      </w:r>
    </w:p>
    <w:p w14:paraId="0503D7F6" w14:textId="77777777" w:rsidR="00554D08" w:rsidRPr="00377A22" w:rsidRDefault="00000000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t>where MassLoss_Li is the predicted mass loss for mesh level Li and MassLoss_Reference is the predicted mass loss for the reference mesh (21.25 million elements).</w:t>
      </w:r>
    </w:p>
    <w:p w14:paraId="05BA7C40" w14:textId="090B4801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</w:t>
      </w:r>
      <w:r w:rsidRPr="00AA7E3B">
        <w:rPr>
          <w:sz w:val="20"/>
          <w:szCs w:val="20"/>
        </w:rPr>
        <w:t>Mesh convergence study showing the effect of mesh resolution on predicted 7-day mass loss. Relative errors are calculated with respect to the reference mesh</w:t>
      </w:r>
      <w:r w:rsidR="00E26E6E" w:rsidRPr="00AA7E3B">
        <w:rPr>
          <w:sz w:val="20"/>
          <w:szCs w:val="20"/>
        </w:rPr>
        <w:t xml:space="preserve"> (Mass Loss values may differ from those of the calibrated model, as these validation cases were evaluated prior to model calibration)</w:t>
      </w:r>
      <w:r w:rsidRPr="00AA7E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63F4016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0.3009</w:t>
            </w:r>
          </w:p>
        </w:tc>
        <w:tc>
          <w:tcPr>
            <w:tcW w:w="2554" w:type="dxa"/>
            <w:noWrap/>
            <w:vAlign w:val="center"/>
          </w:tcPr>
          <w:p w14:paraId="3AE6E184" w14:textId="6899461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43B7242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2554" w:type="dxa"/>
            <w:noWrap/>
            <w:vAlign w:val="center"/>
          </w:tcPr>
          <w:p w14:paraId="55BDFE58" w14:textId="5B226D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4ADE0D7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0.1682</w:t>
            </w:r>
          </w:p>
        </w:tc>
        <w:tc>
          <w:tcPr>
            <w:tcW w:w="2554" w:type="dxa"/>
            <w:noWrap/>
            <w:vAlign w:val="center"/>
          </w:tcPr>
          <w:p w14:paraId="493D9FBC" w14:textId="52D705E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7FAA7F2E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0.1637</w:t>
            </w:r>
          </w:p>
        </w:tc>
        <w:tc>
          <w:tcPr>
            <w:tcW w:w="2554" w:type="dxa"/>
            <w:noWrap/>
            <w:vAlign w:val="center"/>
          </w:tcPr>
          <w:p w14:paraId="6CB7FB3A" w14:textId="1E0955C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5FEF700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61EED123" w:rsidR="00554D08" w:rsidRPr="000212DA" w:rsidRDefault="00D860BF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D860BF">
              <w:rPr>
                <w:rFonts w:cs="Times New Roman"/>
                <w:sz w:val="20"/>
                <w:szCs w:val="20"/>
                <w:lang w:eastAsia="en-US"/>
              </w:rPr>
              <w:t>0.161</w:t>
            </w:r>
            <w:r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554" w:type="dxa"/>
            <w:noWrap/>
            <w:vAlign w:val="center"/>
          </w:tcPr>
          <w:p w14:paraId="522DF78B" w14:textId="205D7BC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="00D860BF">
              <w:rPr>
                <w:rFonts w:cs="Times New Roman"/>
                <w:sz w:val="20"/>
                <w:szCs w:val="20"/>
                <w:lang w:eastAsia="en-US"/>
              </w:rPr>
              <w:t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2171" w:type="dxa"/>
            <w:noWrap/>
            <w:vAlign w:val="center"/>
          </w:tcPr>
          <w:p w14:paraId="66B76AE3" w14:textId="7143F82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2554" w:type="dxa"/>
            <w:noWrap/>
            <w:vAlign w:val="center"/>
          </w:tcPr>
          <w:p w14:paraId="258C6E05" w14:textId="22E5CC1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</w:t>
      </w:r>
      <w:r w:rsidRPr="00AA7E3B">
        <w:rPr>
          <w:sz w:val="20"/>
          <w:szCs w:val="20"/>
        </w:rPr>
        <w:t xml:space="preserve">Comparison between an adaptive mesh and a uniform mesh </w:t>
      </w:r>
      <w:r w:rsidR="00E730F4" w:rsidRPr="00AA7E3B">
        <w:rPr>
          <w:sz w:val="20"/>
          <w:szCs w:val="20"/>
        </w:rPr>
        <w:t>(</w:t>
      </w:r>
      <w:r w:rsidRPr="00AA7E3B">
        <w:rPr>
          <w:sz w:val="20"/>
          <w:szCs w:val="20"/>
        </w:rPr>
        <w:t>approximately 800,000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48BA370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0.2860</w:t>
            </w:r>
          </w:p>
        </w:tc>
        <w:tc>
          <w:tcPr>
            <w:tcW w:w="1805" w:type="dxa"/>
            <w:noWrap/>
            <w:vAlign w:val="center"/>
          </w:tcPr>
          <w:p w14:paraId="0A550CBF" w14:textId="65B9125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7BB7796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1805" w:type="dxa"/>
            <w:noWrap/>
            <w:vAlign w:val="center"/>
          </w:tcPr>
          <w:p w14:paraId="2DE3A1B1" w14:textId="3FD14F4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16CB8DF8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1805" w:type="dxa"/>
            <w:noWrap/>
            <w:vAlign w:val="center"/>
          </w:tcPr>
          <w:p w14:paraId="4D017354" w14:textId="3D6235D1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350084CA" w:rsidR="00554D08" w:rsidRDefault="00CE4FFD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F31445" wp14:editId="02D84578">
            <wp:extent cx="5731510" cy="21901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067E452D" w:rsidR="00554D08" w:rsidRPr="00AA7E3B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S</w:t>
      </w:r>
      <w:r w:rsidR="00EC20EE">
        <w:rPr>
          <w:b/>
          <w:bCs/>
          <w:sz w:val="20"/>
          <w:szCs w:val="20"/>
        </w:rPr>
        <w:fldChar w:fldCharType="begin"/>
      </w:r>
      <w:r w:rsidR="00EC20EE">
        <w:rPr>
          <w:b/>
          <w:bCs/>
          <w:sz w:val="20"/>
          <w:szCs w:val="20"/>
        </w:rPr>
        <w:instrText xml:space="preserve"> SEQ Figure \* ARABIC </w:instrText>
      </w:r>
      <w:r w:rsidR="00EC20EE">
        <w:rPr>
          <w:b/>
          <w:bCs/>
          <w:sz w:val="20"/>
          <w:szCs w:val="20"/>
        </w:rPr>
        <w:fldChar w:fldCharType="separate"/>
      </w:r>
      <w:r w:rsidR="00EC20EE">
        <w:rPr>
          <w:b/>
          <w:bCs/>
          <w:sz w:val="20"/>
          <w:szCs w:val="20"/>
        </w:rPr>
        <w:t>1</w:t>
      </w:r>
      <w:r w:rsidR="00EC20EE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 </w:t>
      </w:r>
      <w:r w:rsidRPr="00AA7E3B">
        <w:rPr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4457CB48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5FB4CA75" w:rsidR="00554D08" w:rsidRDefault="00554D08" w:rsidP="00554D08">
      <w:pPr>
        <w:pStyle w:val="Heading1"/>
        <w:spacing w:after="0"/>
      </w:pPr>
      <w:r>
        <w:t>S3. Simulation settings and parameters</w:t>
      </w:r>
    </w:p>
    <w:p w14:paraId="018FA761" w14:textId="4D62BFC9" w:rsidR="005639C1" w:rsidRDefault="007163D0">
      <w:pPr>
        <w:pStyle w:val="BodyText"/>
        <w:spacing w:after="120"/>
        <w:ind w:firstLine="0"/>
      </w:pPr>
      <w:r>
        <w:t>Table S4 lists the mesh, numerical integration, software</w:t>
      </w:r>
      <w:r w:rsidR="00EC20EE">
        <w:t>,</w:t>
      </w:r>
      <w:r>
        <w:t xml:space="preserve"> and boundary-condition settings used for the disc calibration, disc validation</w:t>
      </w:r>
      <w:r w:rsidR="00EC20EE">
        <w:t>,</w:t>
      </w:r>
      <w:r>
        <w:t xml:space="preserve"> and stent simulations. The simulations were run in FreeFEM (v4.14) [4] with PETSc [5] and Open MPI [6], and the level-set function was reinitialized with the fast marching method [7]. Geometry processing and post-processing used scikit-image [8], trimesh [9], meshio [10], SciPy [11], Matplotlib [12]</w:t>
      </w:r>
      <w:r w:rsidR="00EC20EE">
        <w:t>,</w:t>
      </w:r>
      <w:r>
        <w:t xml:space="preserve"> and ParaView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2FE0051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19.46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402F184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19BB1BD8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53.9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622AB4E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802</w:t>
            </w:r>
            <w:r w:rsidRPr="0017409B">
              <w:rPr>
                <w:rFonts w:cs="Times New Roman"/>
                <w:sz w:val="20"/>
                <w:szCs w:val="20"/>
                <w:lang w:eastAsia="en-US"/>
              </w:rPr>
              <w:t>,</w:t>
            </w:r>
            <w:r>
              <w:rPr>
                <w:rFonts w:cs="Times New Roman"/>
                <w:sz w:val="20"/>
                <w:szCs w:val="20"/>
                <w:lang w:eastAsia="en-US"/>
              </w:rPr>
              <w:t>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1B6BF9FC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18620520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6" w:type="dxa"/>
            <w:vAlign w:val="center"/>
          </w:tcPr>
          <w:p w14:paraId="63492624" w14:textId="72FAE84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EC20EE">
              <w:rPr>
                <w:rFonts w:cs="Times New Roman"/>
                <w:color w:val="000000"/>
                <w:sz w:val="20"/>
                <w:szCs w:val="20"/>
                <w:lang w:eastAsia="en-US"/>
              </w:rPr>
              <w:t>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5" w:type="dxa"/>
            <w:vAlign w:val="center"/>
          </w:tcPr>
          <w:p w14:paraId="084910BE" w14:textId="3A27FB8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0.005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74794DFF" w14:textId="036B6888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2E763E36" w:rsidR="00554D08" w:rsidRPr="0017409B" w:rsidRDefault="0079244B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093D6C5F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20DE80EC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13049AE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  <w:ins w:id="1" w:author="Claude" w:date="2026-10-09T01:36:00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</w:t>
              </w:r>
            </w:ins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4F9C5857" w14:textId="5D6EB8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</w:t>
      </w:r>
      <w:r w:rsidR="009B428F">
        <w:rPr>
          <w:sz w:val="20"/>
          <w:szCs w:val="20"/>
        </w:rPr>
        <w:t xml:space="preserve"> (the ranges might differ from calibration space as this was done prior to calibration of the model)</w:t>
      </w:r>
      <w:r w:rsidRPr="005817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32D41101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1×10⁴ – 8×10⁵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EC20EE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48B43C73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2×10⁷ – 4×10⁸</w:t>
            </w:r>
          </w:p>
        </w:tc>
        <w:tc>
          <w:tcPr>
            <w:tcW w:w="1495" w:type="dxa"/>
            <w:vAlign w:val="center"/>
          </w:tcPr>
          <w:p w14:paraId="32E0D95C" w14:textId="2D08846F" w:rsidR="00554D08" w:rsidRPr="00EC20EE" w:rsidRDefault="00EC20EE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ascii="Cambria Math" w:hAnsi="Cambria Math"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6B1F674B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8 – 800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285FE432" w:rsidR="00554D08" w:rsidRPr="00A26FEC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1×10⁻⁹ – 1×10⁻⁸</w:t>
            </w:r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00000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00000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78536D5B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t xml:space="preserve">S5. </w:t>
      </w:r>
      <w:ins w:id="9003" w:author="Claude" w:date="2026-10-09T21:46:25Z">
        <w:r>
          <w:t xml:space="preserve">Calibration by </w:t>
        </w:r>
      </w:ins>
      <w:r>
        <w:t xml:space="preserve">Bayesian </w:t>
      </w:r>
      <w:del w:id="9002" w:author="Claude" w:date="2026-10-09T21:46:25Z">
        <w:r>
          <w:delText xml:space="preserve">calibration</w:delText>
        </w:r>
      </w:del>
      <w:ins w:id="9001" w:author="Claude" w:date="2026-10-09T21:46:25Z">
        <w:r>
          <w:t xml:space="preserve">optimization</w:t>
        </w:r>
      </w:ins>
      <w:r>
        <w:t xml:space="preserve"> and validation</w:t>
      </w:r>
    </w:p>
    <w:p w14:paraId="64C1FDF0" w14:textId="33974687" w:rsidR="00DA0507" w:rsidRDefault="00DA0507" w:rsidP="00DA0507">
      <w:pPr>
        <w:pStyle w:val="BodyText"/>
        <w:spacing w:after="120"/>
        <w:ind w:firstLine="0"/>
      </w:pPr>
      <w:r w:rsidRPr="00DA0507">
        <w:t xml:space="preserve">Optimal parameters were identified</w:t>
      </w:r>
      <w:ins w:id="9008" w:author="Claude" w:date="2026-10-09T21:46:25Z">
        <w:r w:rsidRPr="00DA0507">
          <w:t xml:space="preserve"> by Bayesian optimization of a deterministic RMSE objective, i.e.</w:t>
        </w:r>
      </w:ins>
      <w:r w:rsidRPr="00DA0507">
        <w:t xml:space="preserve"> by minimizing the RMSE between predicted and literature-reported 14-day mass-loss measurements</w:t>
      </w:r>
      <w:ins w:id="9007" w:author="Claude" w:date="2026-10-09T21:46:25Z">
        <w:r w:rsidRPr="00DA0507">
          <w:t xml:space="preserve">; this locates the minimum-RMSE parameter set and is not Bayesian parameter inference</w:t>
        </w:r>
      </w:ins>
      <w:r w:rsidRPr="00DA0507">
        <w:t xml:space="preserve">. A Gaussian process (GP) surrogate model [16] was initialized using a 12-point Latin hypercube sampling (LHS) design [18] spanning the admissible parameter space and iteratively refined using the expected improvement (EI) acquisition function [17]. The literature data are from Liu et al. [19].</w:t>
      </w:r>
      <w:ins w:id="2" w:author="Claude" w:date="2026-10-09T01:36:00Z">
        <w:r w:rsidRPr="00DA0507">
          <w:t xml:space="preserve"> </w:t>
        </w:r>
      </w:ins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 RMSE was calculated as:</w:t>
      </w:r>
    </w:p>
    <w:p w14:paraId="55C543BA" w14:textId="77777777" w:rsidR="00377A22" w:rsidRPr="00542C5D" w:rsidRDefault="00000000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BEA26F3" w14:textId="37265F0D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MassLoss</m:t>
            </m:r>
          </m:e>
          <m:sub>
            <m:r>
              <w:rPr>
                <w:rFonts w:ascii="Cambria Math" w:hAnsi="Cambria Math"/>
              </w:rPr>
              <m:t>Sim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MassLoss</m:t>
            </m:r>
          </m:e>
          <m:sub>
            <m:r>
              <w:rPr>
                <w:rFonts w:ascii="Cambria Math" w:hAnsi="Cambria Math"/>
              </w:rPr>
              <m:t>exp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are the simulated and literature mass loss at time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, respectively.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mass-loss data used for </w:t>
      </w:r>
      <w:del w:id="9004" w:author="Claude" w:date="2026-10-09T21:46:25Z">
        <w:r>
          <w:rPr>
            <w:sz w:val="20"/>
            <w:szCs w:val="20"/>
          </w:rPr>
          <w:delText xml:space="preserve">Bayesian </w:delText>
        </w:r>
      </w:del>
      <w:r w:rsidRPr="00461D9B">
        <w:rPr>
          <w:sz w:val="20"/>
          <w:szCs w:val="20"/>
        </w:rPr>
        <w:t xml:space="preserve">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47BBFF80" w:rsidR="00DF756F" w:rsidRDefault="00DF756F" w:rsidP="00DF756F">
      <w:pPr>
        <w:pStyle w:val="BodyText"/>
        <w:keepNext/>
        <w:spacing w:before="360" w:line="240" w:lineRule="auto"/>
        <w:ind w:firstLine="0"/>
        <w:jc w:val="center"/>
        <w:rPr>
          <w:del w:id="3" w:author="Claude" w:date="2026-10-09T12:01:00Z"/>
        </w:rPr>
      </w:pPr>
    </w:p>
    <w:p w14:paraId="2F343951" w14:textId="329E8318" w:rsidR="00DF756F" w:rsidRDefault="000F4316" w:rsidP="00DF756F">
      <w:pPr>
        <w:pStyle w:val="BodyText"/>
        <w:keepNext/>
        <w:spacing w:before="360" w:line="240" w:lineRule="auto"/>
        <w:ind w:firstLine="0"/>
        <w:jc w:val="center"/>
        <w:rPr>
          <w:ins w:id="4" w:author="Claude" w:date="2026-10-09T12:01:00Z"/>
        </w:rPr>
      </w:pPr>
      <w:r>
        <w:rPr>
          <w:noProof/>
        </w:rPr>
        <w:drawing>
          <wp:inline distT="0" distB="0" distL="0" distR="0" wp14:anchorId="0617F362" wp14:editId="3CDC987F">
            <wp:extent cx="5731510" cy="2068830"/>
            <wp:effectExtent l="0" t="0" r="2540" b="7620"/>
            <wp:docPr id="42695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55605" name="Picture 4269556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5EB0BA01" w:rsidR="005F4719" w:rsidRDefault="00DF756F" w:rsidP="00DF756F">
      <w:pPr>
        <w:pStyle w:val="Captions"/>
        <w:spacing w:before="80" w:after="360"/>
        <w:rPr>
          <w:sz w:val="20"/>
          <w:szCs w:val="20"/>
        </w:rPr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 xml:space="preserve">Bayesian </w:t>
      </w:r>
      <w:del w:id="9006" w:author="Claude" w:date="2026-10-09T21:46:25Z">
        <w:r>
          <w:rPr>
            <w:sz w:val="20"/>
            <w:szCs w:val="20"/>
          </w:rPr>
          <w:delText xml:space="preserve">calibration</w:delText>
        </w:r>
      </w:del>
      <w:ins w:id="9005" w:author="Claude" w:date="2026-10-09T21:46:25Z">
        <w:r w:rsidR="003E77C2" w:rsidRPr="003E77C2">
          <w:rPr>
            <w:sz w:val="20"/>
            <w:szCs w:val="20"/>
          </w:rPr>
          <w:t xml:space="preserve">optimization</w:t>
        </w:r>
      </w:ins>
      <w:r w:rsidR="003E77C2" w:rsidRPr="003E77C2">
        <w:rPr>
          <w:sz w:val="20"/>
          <w:szCs w:val="20"/>
        </w:rPr>
        <w:t xml:space="preserve"> results: (a) simulated and literature mass loss, (b) normalized log10 parameter trajectories over the 32 evaluations (optimum at iteration 22)</w:t>
      </w:r>
      <w:r w:rsidR="000F4316">
        <w:rPr>
          <w:sz w:val="20"/>
          <w:szCs w:val="20"/>
        </w:rPr>
        <w:t>.</w:t>
      </w:r>
    </w:p>
    <w:p w14:paraId="5D3143D3" w14:textId="1A8FD6FC" w:rsidR="00644320" w:rsidRDefault="00644320" w:rsidP="00644320">
      <w:pPr>
        <w:pStyle w:val="BodyText"/>
        <w:spacing w:after="120"/>
        <w:ind w:firstLine="0"/>
      </w:pPr>
      <w:r>
        <w:t xml:space="preserve">The coarse-mesh (L2) calibration simulations are related to the fine-mesh (L6) result by a single proportionality factor over 672 h, L2 = 1.355846 × L6 (r = 0.9986; Figure </w:t>
      </w:r>
      <w:r>
        <w:t>S5</w:t>
      </w:r>
      <w:r>
        <w:t>).</w:t>
      </w:r>
    </w:p>
    <w:p w14:paraId="462337EB" w14:textId="77777777" w:rsidR="00644320" w:rsidRDefault="00644320" w:rsidP="00644320">
      <w:pPr>
        <w:pStyle w:val="BodyText"/>
        <w:spacing w:after="120"/>
        <w:ind w:firstLine="0"/>
      </w:pPr>
    </w:p>
    <w:p w14:paraId="7C02F863" w14:textId="12DDE34E" w:rsidR="00644320" w:rsidRDefault="00D56E8A" w:rsidP="0064432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iCs/>
          <w:noProof/>
          <w:sz w:val="22"/>
          <w:szCs w:val="22"/>
        </w:rPr>
        <w:drawing>
          <wp:inline distT="0" distB="0" distL="0" distR="0" wp14:anchorId="6565DC9C" wp14:editId="198336DF">
            <wp:extent cx="5731510" cy="2395220"/>
            <wp:effectExtent l="0" t="0" r="2540" b="5080"/>
            <wp:docPr id="19446898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89817" name="Picture 194468981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9D81B" w14:textId="096BBF22" w:rsidR="00644320" w:rsidRDefault="00644320" w:rsidP="00644320">
      <w:pPr>
        <w:pStyle w:val="Captions"/>
        <w:spacing w:before="80" w:after="360"/>
      </w:pPr>
      <w:r>
        <w:rPr>
          <w:b/>
          <w:bCs/>
          <w:sz w:val="20"/>
          <w:szCs w:val="20"/>
        </w:rPr>
        <w:t>Figure S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SEQ Figure \* ARABIC </w:instrText>
      </w:r>
      <w:r>
        <w:rPr>
          <w:b/>
          <w:bCs/>
          <w:sz w:val="20"/>
          <w:szCs w:val="20"/>
        </w:rPr>
        <w:fldChar w:fldCharType="separate"/>
      </w:r>
      <w:r w:rsidR="00341DFC">
        <w:rPr>
          <w:b/>
          <w:bCs/>
          <w:noProof/>
          <w:sz w:val="20"/>
          <w:szCs w:val="20"/>
        </w:rPr>
        <w:t>5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Mesh correction between the coarse (L2, low) and fine (L6, ultra-high) meshes. </w:t>
      </w:r>
      <w:r w:rsidR="00D56E8A">
        <w:rPr>
          <w:sz w:val="20"/>
          <w:szCs w:val="20"/>
        </w:rPr>
        <w:t>(a)</w:t>
      </w:r>
      <w:r>
        <w:rPr>
          <w:sz w:val="20"/>
          <w:szCs w:val="20"/>
        </w:rPr>
        <w:t xml:space="preserve"> mass loss versus time for the two meshes. </w:t>
      </w:r>
      <w:r w:rsidR="00D56E8A">
        <w:rPr>
          <w:sz w:val="20"/>
          <w:szCs w:val="20"/>
        </w:rPr>
        <w:t>(b)</w:t>
      </w:r>
      <w:r>
        <w:rPr>
          <w:sz w:val="20"/>
          <w:szCs w:val="20"/>
        </w:rPr>
        <w:t xml:space="preserve"> L2 versus L6 mass loss at matching times (r = 0.9986).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000000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</w:t>
      </w:r>
      <w:del w:id="9014" w:author="Claude" w:date="2026-10-09T21:46:25Z">
        <w:r>
          <w:delText xml:space="preserve">calibration</w:delText>
        </w:r>
      </w:del>
      <w:ins w:id="9013" w:author="Claude" w:date="2026-10-09T21:46:25Z">
        <w:r w:rsidRPr="00F164F0">
          <w:t xml:space="preserve">optimization</w:t>
        </w:r>
      </w:ins>
      <w:r w:rsidRPr="00F164F0">
        <w:t xml:space="preserve"> objective rather than a </w:t>
      </w:r>
      <w:del w:id="9012" w:author="Claude" w:date="2026-10-09T21:46:25Z">
        <w:r>
          <w:delText xml:space="preserve">formal</w:delText>
        </w:r>
      </w:del>
      <w:ins w:id="9011" w:author="Claude" w:date="2026-10-09T21:46:25Z">
        <w:r w:rsidRPr="00F164F0">
          <w:t xml:space="preserve">likelihood-based</w:t>
        </w:r>
      </w:ins>
      <w:r w:rsidRPr="00F164F0">
        <w:t xml:space="preserve"> parameter </w:t>
      </w:r>
      <w:del w:id="9010" w:author="Claude" w:date="2026-10-09T21:46:25Z">
        <w:r>
          <w:delText xml:space="preserve">posterior</w:delText>
        </w:r>
      </w:del>
      <w:ins w:id="9009" w:author="Claude" w:date="2026-10-09T21:46:25Z">
        <w:r w:rsidRPr="00F164F0">
          <w:t xml:space="preserve">inference</w:t>
        </w:r>
      </w:ins>
      <w:r w:rsidRPr="00F164F0">
        <w:t xml:space="preserve">, these bands are reported as parameter-propagated ensemble intervals and exclude measurement, model-form, and numerical uncertainty.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1C7874C9" w:rsidR="00876655" w:rsidRDefault="00876655" w:rsidP="00876655">
      <w:pPr>
        <w:pStyle w:val="Captions"/>
        <w:spacing w:before="80" w:after="360"/>
        <w:rPr>
          <w:sz w:val="20"/>
          <w:szCs w:val="20"/>
        </w:rPr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341DFC">
        <w:rPr>
          <w:b/>
          <w:bCs/>
          <w:noProof/>
          <w:sz w:val="20"/>
          <w:szCs w:val="20"/>
        </w:rPr>
        <w:t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 xml:space="preserve"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</w:t>
      </w:r>
      <w:del w:id="9024" w:author="Claude" w:date="2026-10-09T21:46:25Z">
        <w:r>
          <w:rPr>
            <w:sz w:val="20"/>
            <w:szCs w:val="20"/>
          </w:rPr>
          <w:delText xml:space="preserve">are</w:delText>
        </w:r>
      </w:del>
      <w:ins w:id="9023" w:author="Claude" w:date="2026-10-09T21:46:25Z">
        <w:r w:rsidRPr="00F164F0">
          <w:rPr>
            <w:sz w:val="20"/>
            <w:szCs w:val="20"/>
          </w:rPr>
          <w:t xml:space="preserve">do</w:t>
        </w:r>
      </w:ins>
      <w:r w:rsidRPr="00F164F0">
        <w:rPr>
          <w:sz w:val="20"/>
          <w:szCs w:val="20"/>
        </w:rPr>
        <w:t xml:space="preserve"> not </w:t>
      </w:r>
      <w:del w:id="9022" w:author="Claude" w:date="2026-10-09T21:46:25Z">
        <w:r>
          <w:rPr>
            <w:sz w:val="20"/>
            <w:szCs w:val="20"/>
          </w:rPr>
          <w:delText xml:space="preserve">Bayesian</w:delText>
        </w:r>
      </w:del>
      <w:ins w:id="9021" w:author="Claude" w:date="2026-10-09T21:46:25Z">
        <w:r w:rsidRPr="00F164F0">
          <w:rPr>
            <w:sz w:val="20"/>
            <w:szCs w:val="20"/>
          </w:rPr>
          <w:t xml:space="preserve">include</w:t>
        </w:r>
      </w:ins>
      <w:r w:rsidRPr="00F164F0">
        <w:rPr>
          <w:sz w:val="20"/>
          <w:szCs w:val="20"/>
        </w:rPr>
        <w:t xml:space="preserve"> </w:t>
      </w:r>
      <w:del w:id="9020" w:author="Claude" w:date="2026-10-09T21:46:25Z">
        <w:r>
          <w:rPr>
            <w:sz w:val="20"/>
            <w:szCs w:val="20"/>
          </w:rPr>
          <w:delText xml:space="preserve">credible</w:delText>
        </w:r>
      </w:del>
      <w:ins w:id="9019" w:author="Claude" w:date="2026-10-09T21:46:25Z">
        <w:r w:rsidRPr="00F164F0">
          <w:rPr>
            <w:sz w:val="20"/>
            <w:szCs w:val="20"/>
          </w:rPr>
          <w:t xml:space="preserve">measurement, model-form</w:t>
        </w:r>
      </w:ins>
      <w:r w:rsidRPr="00F164F0">
        <w:rPr>
          <w:sz w:val="20"/>
          <w:szCs w:val="20"/>
        </w:rPr>
        <w:t xml:space="preserve"> or </w:t>
      </w:r>
      <w:del w:id="9018" w:author="Claude" w:date="2026-10-09T21:46:25Z">
        <w:r>
          <w:rPr>
            <w:sz w:val="20"/>
            <w:szCs w:val="20"/>
          </w:rPr>
          <w:delText xml:space="preserve">predictive</w:delText>
        </w:r>
      </w:del>
      <w:ins w:id="9017" w:author="Claude" w:date="2026-10-09T21:46:25Z">
        <w:r w:rsidRPr="00F164F0">
          <w:rPr>
            <w:sz w:val="20"/>
            <w:szCs w:val="20"/>
          </w:rPr>
          <w:t xml:space="preserve">numerical</w:t>
        </w:r>
      </w:ins>
      <w:r w:rsidRPr="00F164F0">
        <w:rPr>
          <w:sz w:val="20"/>
          <w:szCs w:val="20"/>
        </w:rPr>
        <w:t xml:space="preserve"> </w:t>
      </w:r>
      <w:del w:id="9016" w:author="Claude" w:date="2026-10-09T21:46:25Z">
        <w:r>
          <w:rPr>
            <w:sz w:val="20"/>
            <w:szCs w:val="20"/>
          </w:rPr>
          <w:delText xml:space="preserve">intervals</w:delText>
        </w:r>
      </w:del>
      <w:ins w:id="9015" w:author="Claude" w:date="2026-10-09T21:46:25Z">
        <w:r w:rsidRPr="00F164F0">
          <w:rPr>
            <w:sz w:val="20"/>
            <w:szCs w:val="20"/>
          </w:rPr>
          <w:t xml:space="preserve">uncertainty</w:t>
        </w:r>
      </w:ins>
      <w:r w:rsidRPr="00F164F0">
        <w:rPr>
          <w:sz w:val="20"/>
          <w:szCs w:val="20"/>
        </w:rPr>
        <w:t xml:space="preserve">.</w:t>
      </w:r>
    </w:p>
    <w:p w14:paraId="04BC8270" w14:textId="2AFFA191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 xml:space="preserve">Comparison of simulated and measured mass loss in HBSS (validation) with the experimental scatter. Experimental values are mean ± SD (n = 3); |Error|/SD is the absolute error divided by the SD at the same </w:t>
      </w:r>
      <w:r w:rsidR="00341DFC">
        <w:rPr>
          <w:sz w:val="20"/>
          <w:szCs w:val="20"/>
        </w:rPr>
        <w:t>i</w:t>
      </w:r>
      <w:r w:rsidRPr="002A0AFD">
        <w:rPr>
          <w:sz w:val="20"/>
          <w:szCs w:val="20"/>
        </w:rPr>
        <w:t>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316C26F5" w14:textId="77777777" w:rsidR="00341DFC" w:rsidRDefault="00341DFC" w:rsidP="00341DFC">
      <w:pPr>
        <w:pStyle w:val="BodyText"/>
      </w:pPr>
    </w:p>
    <w:p w14:paraId="7E9636DC" w14:textId="2BE5FEC9" w:rsidR="0021293D" w:rsidRDefault="0021293D" w:rsidP="0021293D">
      <w:pPr>
        <w:pStyle w:val="Heading1"/>
      </w:pPr>
      <w:r>
        <w:t>S7. Case-study results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128C6D8B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 w:rsidR="006F2529">
        <w:rPr>
          <w:b/>
          <w:bCs/>
          <w:noProof/>
          <w:sz w:val="20"/>
          <w:szCs w:val="20"/>
        </w:rPr>
        <w:t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8A4911D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6B02AA2C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6F2529">
        <w:rPr>
          <w:b/>
          <w:bCs/>
          <w:noProof/>
          <w:sz w:val="20"/>
          <w:szCs w:val="20"/>
        </w:rPr>
        <w:t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5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5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652E7371" w:rsidR="00496CE8" w:rsidRDefault="00552E50" w:rsidP="00876655">
      <w:pPr>
        <w:pStyle w:val="Captions"/>
        <w:spacing w:before="80" w:after="360"/>
        <w:rPr>
          <w:sz w:val="20"/>
          <w:szCs w:val="2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6F2529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6CD070E5" w14:textId="4C8BB2F1" w:rsidR="00D56E8A" w:rsidRDefault="00D56E8A" w:rsidP="00D56E8A">
      <w:pPr>
        <w:pStyle w:val="BodyText"/>
        <w:spacing w:after="120"/>
        <w:ind w:firstLine="0"/>
      </w:pPr>
      <w:r w:rsidRPr="00D56E8A">
        <w:t>Because the computational domain (27 mL) was smaller than the experimental volume (44 mL), oxygen-availability sensitivity was assessed by varying oxygen-replenishing boundaries and initial dissolved-oxygen concentration (Figure S10). Mass loss was controlled primarily by oxygen supply rather than domain volume, increasing from 0.16% to 0.81% as the initial oxygen concentration increased, while different replenishment boundaries produced only minor differences (0.40-0.43% at 672 h). The no-flux and all-faces cases differed by approximately eightfold in mass loss, highlighting the strong influence of oxygen availability.</w:t>
      </w:r>
    </w:p>
    <w:p w14:paraId="1387E992" w14:textId="77777777" w:rsidR="00D56E8A" w:rsidRDefault="00D56E8A" w:rsidP="00D56E8A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drawing>
          <wp:inline distT="0" distB="0" distL="0" distR="0" wp14:anchorId="1C8B8CD1" wp14:editId="30A5F3FC">
            <wp:extent cx="5731510" cy="2093921"/>
            <wp:effectExtent l="0" t="0" r="2540" b="0"/>
            <wp:docPr id="9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3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8D141" w14:textId="2C3043C2" w:rsidR="00D56E8A" w:rsidRPr="00876655" w:rsidRDefault="00D56E8A" w:rsidP="00D56E8A">
      <w:pPr>
        <w:pStyle w:val="Captions"/>
        <w:spacing w:before="80" w:after="360"/>
      </w:pPr>
      <w:r>
        <w:rPr>
          <w:b/>
          <w:bCs/>
          <w:sz w:val="20"/>
          <w:szCs w:val="20"/>
        </w:rPr>
        <w:t>Figure S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SEQ Figure \* ARABIC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10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Effect of oxygen supply on predicted mass loss. (a) Mass loss for the disc with no oxygen-replenishing boundary (None), replenishment through the top and bottom faces, the side faces, or all faces, (b) mass loss for initial dissolved-oxygen concentrations of 1.5, 3.5, 5.5 and 7.5 × 10⁻⁹ g mm⁻³.</w:t>
      </w:r>
    </w:p>
    <w:p w14:paraId="19095023" w14:textId="77777777" w:rsidR="003933A3" w:rsidRDefault="003933A3">
      <w:pPr>
        <w:spacing w:after="160" w:line="259" w:lineRule="auto"/>
        <w:ind w:firstLine="0"/>
        <w:jc w:val="left"/>
        <w:rPr>
          <w:rFonts w:cs="Times New Roman"/>
          <w:b/>
          <w:color w:val="000000"/>
          <w:szCs w:val="40"/>
        </w:rPr>
      </w:pPr>
      <w:r>
        <w:br w:type="page"/>
      </w:r>
    </w:p>
    <w:p w14:paraId="011DC90C" w14:textId="2188D2BD" w:rsidR="005639C1" w:rsidRDefault="007163D0">
      <w:pPr>
        <w:pStyle w:val="Heading1"/>
      </w:pPr>
      <w:r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>C. Geuzaine, J.-F. Remacle, Int. J. Numer.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>H. Si, ACM Trans. Math. Softw.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>C. Dapogny, C. Dobrzynski, P. Frey, J. Comput. Phys. 2014, 262, 358. 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>F. Hecht, J. Numer.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>S. Balay, S. Abhyankar, M. F. Adams, et al., PETSc/TAO Users Manual, Argonne National Laboratory, Lemont, IL, USA 2024, ANL-21/39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>E. Gabriel, G. E. Fagg, G. Bosilca, et al., in Recent Advances in Parallel Virtual Machine and Message Passing Interface (Eds: D. Kranzlmüller, P. Kacsuk, J. Dongarra), Springer, Berlin, Heidelberg, Germany 2004, pp.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>S. van der Walt, J. L. Schönberger, J. Nunez-Iglesias, et al., PeerJ 2014, 2, e453. https://doi.org/10.7717/peerj.453.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>M. Dawson-Haggerty, et al., trimesh,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>N. Schlömer, et al., meshio: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>P. Virtanen, R. Gommers, T. E. Oliphant, et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>J. D. Hunter, Comput.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>J. Ahrens, B. Geveci, C. Law, in The Visualization Handbook (Eds: C. D. Hansen, C. R.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>M. D. Morris, Technometrics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>J. Herman, W. Usher, J. Open Source Softw. 2017, 2, 97. https://doi.org/10.21105/joss.00097.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>D. R. Jones, M. Schonlau, W. J. Welch, J. Glob. Optim.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>M. D. McKay, R. J. Beckman, W. J. Conover, Technometrics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>L. Liu, Y. Meng, C. Dong, Y. Yan, A. A. Volinsky, L.-N. Wang, J. Mater. Sci. Technol. 2018, 34, 2271. https://doi.org/10.1016/j.jmst.2018.05.005.</w:t>
      </w:r>
    </w:p>
    <w:sectPr w:rsidR="005639C1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333DC" w14:textId="77777777" w:rsidR="00285113" w:rsidRDefault="00285113">
      <w:pPr>
        <w:spacing w:line="240" w:lineRule="auto"/>
      </w:pPr>
      <w:r>
        <w:separator/>
      </w:r>
    </w:p>
  </w:endnote>
  <w:endnote w:type="continuationSeparator" w:id="0">
    <w:p w14:paraId="380C3332" w14:textId="77777777" w:rsidR="00285113" w:rsidRDefault="002851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941CA" w14:textId="77777777" w:rsidR="00285113" w:rsidRDefault="00285113">
      <w:pPr>
        <w:spacing w:line="240" w:lineRule="auto"/>
      </w:pPr>
      <w:r>
        <w:separator/>
      </w:r>
    </w:p>
  </w:footnote>
  <w:footnote w:type="continuationSeparator" w:id="0">
    <w:p w14:paraId="53319B1E" w14:textId="77777777" w:rsidR="00285113" w:rsidRDefault="002851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7214916">
    <w:abstractNumId w:val="0"/>
  </w:num>
  <w:num w:numId="2" w16cid:durableId="541985940">
    <w:abstractNumId w:val="5"/>
  </w:num>
  <w:num w:numId="3" w16cid:durableId="1241868294">
    <w:abstractNumId w:val="2"/>
  </w:num>
  <w:num w:numId="4" w16cid:durableId="1240556728">
    <w:abstractNumId w:val="1"/>
  </w:num>
  <w:num w:numId="5" w16cid:durableId="1723287479">
    <w:abstractNumId w:val="3"/>
  </w:num>
  <w:num w:numId="6" w16cid:durableId="145829900">
    <w:abstractNumId w:val="6"/>
  </w:num>
  <w:num w:numId="7" w16cid:durableId="16279304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0F4316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C3854"/>
    <w:rsid w:val="001D3A0A"/>
    <w:rsid w:val="001E445B"/>
    <w:rsid w:val="001F71E2"/>
    <w:rsid w:val="0021293D"/>
    <w:rsid w:val="00212BA4"/>
    <w:rsid w:val="002536C8"/>
    <w:rsid w:val="002544FE"/>
    <w:rsid w:val="00257809"/>
    <w:rsid w:val="002634AA"/>
    <w:rsid w:val="00263E3F"/>
    <w:rsid w:val="00285113"/>
    <w:rsid w:val="00286A31"/>
    <w:rsid w:val="002874E3"/>
    <w:rsid w:val="002955EE"/>
    <w:rsid w:val="002B66F0"/>
    <w:rsid w:val="002C2EAD"/>
    <w:rsid w:val="002C4E1B"/>
    <w:rsid w:val="002D60D4"/>
    <w:rsid w:val="002E6F74"/>
    <w:rsid w:val="003046E8"/>
    <w:rsid w:val="00332F6F"/>
    <w:rsid w:val="003347F2"/>
    <w:rsid w:val="00340C4A"/>
    <w:rsid w:val="00341DFC"/>
    <w:rsid w:val="003551B2"/>
    <w:rsid w:val="00357694"/>
    <w:rsid w:val="0037585E"/>
    <w:rsid w:val="00377A22"/>
    <w:rsid w:val="003933A3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A311D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36D30"/>
    <w:rsid w:val="006420AD"/>
    <w:rsid w:val="00644320"/>
    <w:rsid w:val="00670A5B"/>
    <w:rsid w:val="006A523B"/>
    <w:rsid w:val="006B3F58"/>
    <w:rsid w:val="006B6A1E"/>
    <w:rsid w:val="006B7148"/>
    <w:rsid w:val="006D5290"/>
    <w:rsid w:val="006D579C"/>
    <w:rsid w:val="006E5AA4"/>
    <w:rsid w:val="006F2529"/>
    <w:rsid w:val="007125DF"/>
    <w:rsid w:val="007163D0"/>
    <w:rsid w:val="00743306"/>
    <w:rsid w:val="00762CF8"/>
    <w:rsid w:val="007630D0"/>
    <w:rsid w:val="00770A7E"/>
    <w:rsid w:val="00772BA4"/>
    <w:rsid w:val="00785162"/>
    <w:rsid w:val="0079244B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0BD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B428F"/>
    <w:rsid w:val="009C2673"/>
    <w:rsid w:val="009D3074"/>
    <w:rsid w:val="009E1C9F"/>
    <w:rsid w:val="009E3506"/>
    <w:rsid w:val="009E3F03"/>
    <w:rsid w:val="009F37E1"/>
    <w:rsid w:val="00A01E38"/>
    <w:rsid w:val="00A26FEC"/>
    <w:rsid w:val="00A53676"/>
    <w:rsid w:val="00A753B7"/>
    <w:rsid w:val="00A84096"/>
    <w:rsid w:val="00AA7E3B"/>
    <w:rsid w:val="00AB5E39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34D88"/>
    <w:rsid w:val="00C55847"/>
    <w:rsid w:val="00C742A1"/>
    <w:rsid w:val="00C82396"/>
    <w:rsid w:val="00CA2019"/>
    <w:rsid w:val="00CC423B"/>
    <w:rsid w:val="00CE43D4"/>
    <w:rsid w:val="00CE4FFD"/>
    <w:rsid w:val="00CE77CA"/>
    <w:rsid w:val="00D02AA3"/>
    <w:rsid w:val="00D05721"/>
    <w:rsid w:val="00D175AE"/>
    <w:rsid w:val="00D37C5A"/>
    <w:rsid w:val="00D4195E"/>
    <w:rsid w:val="00D44DB7"/>
    <w:rsid w:val="00D45790"/>
    <w:rsid w:val="00D50C40"/>
    <w:rsid w:val="00D52386"/>
    <w:rsid w:val="00D56E8A"/>
    <w:rsid w:val="00D607D1"/>
    <w:rsid w:val="00D664E5"/>
    <w:rsid w:val="00D80D58"/>
    <w:rsid w:val="00D81273"/>
    <w:rsid w:val="00D81AA4"/>
    <w:rsid w:val="00D860BF"/>
    <w:rsid w:val="00D863B0"/>
    <w:rsid w:val="00DA0507"/>
    <w:rsid w:val="00DB5548"/>
    <w:rsid w:val="00DB6AAA"/>
    <w:rsid w:val="00DF541F"/>
    <w:rsid w:val="00DF756F"/>
    <w:rsid w:val="00E05935"/>
    <w:rsid w:val="00E26E6E"/>
    <w:rsid w:val="00E27337"/>
    <w:rsid w:val="00E60AA3"/>
    <w:rsid w:val="00E61595"/>
    <w:rsid w:val="00E61B2C"/>
    <w:rsid w:val="00E719B9"/>
    <w:rsid w:val="00E730F4"/>
    <w:rsid w:val="00EA180F"/>
    <w:rsid w:val="00EC20EE"/>
    <w:rsid w:val="00ED13DA"/>
    <w:rsid w:val="00ED14A2"/>
    <w:rsid w:val="00F07903"/>
    <w:rsid w:val="00F121A4"/>
    <w:rsid w:val="00F164F0"/>
    <w:rsid w:val="00F1686F"/>
    <w:rsid w:val="00F2726F"/>
    <w:rsid w:val="00F36A97"/>
    <w:rsid w:val="00F45B2F"/>
    <w:rsid w:val="00F50DE0"/>
    <w:rsid w:val="00F67414"/>
    <w:rsid w:val="00F949EB"/>
    <w:rsid w:val="00F95798"/>
    <w:rsid w:val="00FA2E62"/>
    <w:rsid w:val="00FA4B00"/>
    <w:rsid w:val="00FA50F1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3193</TotalTime>
  <Pages>17</Pages>
  <Words>2985</Words>
  <Characters>17021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19967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131</cp:revision>
  <cp:lastPrinted>2026-09-27T22:37:00Z</cp:lastPrinted>
  <dcterms:created xsi:type="dcterms:W3CDTF">2026-09-27T22:41:00Z</dcterms:created>
  <dcterms:modified xsi:type="dcterms:W3CDTF">2026-10-09T21:28:00Z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