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[Confirm the stent minimum element size in Table S4 (currently 0.01 mm).]</w:t>
            </w:r>
          </w:p>
        </w:tc>
        <w:tc>
          <w:tcPr>
            <w:tcW w:w="1587" w:type="dxa"/>
          </w:tcPr>
          <w:p w14:paraId="6E11FE36" w14:textId="77777777" w:rsidR="003F785C" w:rsidRDefault="00E9439A">
            <w:r>
              <w:rPr>
                <w:sz w:val="20"/>
              </w:rPr>
              <w:t>In progress</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