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color w:val="EE0000"/>
                <w:sz w:val="20"/>
              </w:rPr>
              <w:t xml:space="preserve">We thank the reviewer for this dimensional consistency check, and we confirm the estimate. In consistent units, C_O₂ = 3.5 mg L⁻¹ = 1.09 × 10⁻¹⁰ mol mm⁻³ (1 L = 10⁶ mm³) and [Zn]_sol = 7.14/65.38 g cm⁻³ = 1.09 × 10⁻⁴ mol mm⁻³. For </w:t>
            </w:r>
            <w:proofErr w:type="spellStart"/>
            <w:r w:rsidRPr="00DE6DA4">
              <w:rPr>
                <w:color w:val="EE0000"/>
                <w:sz w:val="20"/>
              </w:rPr>
              <w:t>k_ORR</w:t>
            </w:r>
            <w:proofErr w:type="spellEnd"/>
            <w:r w:rsidRPr="00DE6DA4">
              <w:rPr>
                <w:color w:val="EE0000"/>
                <w:sz w:val="20"/>
              </w:rPr>
              <w:t xml:space="preserve"> = 0.51 mm h⁻¹, Eq. 15 then gives </w:t>
            </w:r>
            <w:proofErr w:type="spellStart"/>
            <w:r w:rsidRPr="00DE6DA4">
              <w:rPr>
                <w:color w:val="EE0000"/>
                <w:sz w:val="20"/>
              </w:rPr>
              <w:t>v_ORR</w:t>
            </w:r>
            <w:proofErr w:type="spellEnd"/>
            <w:r w:rsidRPr="00DE6DA4">
              <w:rPr>
                <w:color w:val="EE0000"/>
                <w:sz w:val="20"/>
              </w:rPr>
              <w:t xml:space="preserve"> = 2 </w:t>
            </w:r>
            <w:proofErr w:type="spellStart"/>
            <w:r w:rsidRPr="00DE6DA4">
              <w:rPr>
                <w:color w:val="EE0000"/>
                <w:sz w:val="20"/>
              </w:rPr>
              <w:t>k_ORR</w:t>
            </w:r>
            <w:proofErr w:type="spellEnd"/>
            <w:r w:rsidRPr="00DE6DA4">
              <w:rPr>
                <w:color w:val="EE0000"/>
                <w:sz w:val="20"/>
              </w:rPr>
              <w:t xml:space="preserve">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w:t>
            </w:r>
            <w:proofErr w:type="spellStart"/>
            <w:r w:rsidRPr="00DE6DA4">
              <w:rPr>
                <w:color w:val="EE0000"/>
                <w:sz w:val="20"/>
              </w:rPr>
              <w:t>k_ORR</w:t>
            </w:r>
            <w:proofErr w:type="spellEnd"/>
            <w:r w:rsidRPr="00DE6DA4">
              <w:rPr>
                <w:color w:val="EE0000"/>
                <w:sz w:val="20"/>
              </w:rPr>
              <w:t xml:space="preserve">, the regularized interfacial delta function </w:t>
            </w:r>
            <w:proofErr w:type="spellStart"/>
            <w:r w:rsidRPr="00DE6DA4">
              <w:rPr>
                <w:color w:val="EE0000"/>
                <w:sz w:val="20"/>
              </w:rPr>
              <w:t>δ_Γ</w:t>
            </w:r>
            <w:proofErr w:type="spellEnd"/>
            <w:r w:rsidRPr="00DE6DA4">
              <w:rPr>
                <w:color w:val="EE0000"/>
                <w:sz w:val="20"/>
              </w:rPr>
              <w:t xml:space="preserve"> and the oxygen concentration (units, g versus mol, and the interface area scaling) and found [describe finding: e.g. the unit/definition used in the code and the correction made]. [Corrected </w:t>
            </w:r>
            <w:proofErr w:type="spellStart"/>
            <w:r w:rsidRPr="00DE6DA4">
              <w:rPr>
                <w:color w:val="EE0000"/>
                <w:sz w:val="20"/>
              </w:rPr>
              <w:t>k_ORR</w:t>
            </w:r>
            <w:proofErr w:type="spellEnd"/>
            <w:r w:rsidRPr="00DE6DA4">
              <w:rPr>
                <w:color w:val="EE0000"/>
                <w:sz w:val="20"/>
              </w:rPr>
              <w:t>, Table 2, Figures 3–8 and associated text: describe what was re-run and what changed.]</w:t>
            </w:r>
          </w:p>
        </w:tc>
        <w:tc>
          <w:tcPr>
            <w:tcW w:w="1587" w:type="dxa"/>
          </w:tcPr>
          <w:p w14:paraId="224A183E" w14:textId="77777777" w:rsidR="00660073" w:rsidRDefault="00000000">
            <w:r>
              <w:rPr>
                <w:sz w:val="20"/>
              </w:rPr>
              <w:t>Open</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color w:val="000000"/>
                <w:sz w:val="20"/>
              </w:rPr>
              <w:t>See response to A1.1.</w:t>
            </w:r>
          </w:p>
        </w:tc>
        <w:tc>
          <w:tcPr>
            <w:tcW w:w="1587" w:type="dxa"/>
          </w:tcPr>
          <w:p w14:paraId="7DFA5F15" w14:textId="77777777" w:rsidR="00660073" w:rsidRDefault="00000000">
            <w:r>
              <w:rPr>
                <w:sz w:val="20"/>
              </w:rPr>
              <w:t>Open</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color w:val="EE0000"/>
                <w:sz w:val="20"/>
              </w:rPr>
              <w:t xml:space="preserve">See response to A1.1. The mass-loss response for </w:t>
            </w:r>
            <w:proofErr w:type="spellStart"/>
            <w:r w:rsidRPr="00DE6DA4">
              <w:rPr>
                <w:color w:val="EE0000"/>
                <w:sz w:val="20"/>
              </w:rPr>
              <w:t>k_ORR</w:t>
            </w:r>
            <w:proofErr w:type="spellEnd"/>
            <w:r w:rsidRPr="00DE6DA4">
              <w:rPr>
                <w:color w:val="EE0000"/>
                <w:sz w:val="20"/>
              </w:rPr>
              <w:t xml:space="preserve"> = 0.1 in Figure 4c is [confirmed / re-computed] after the audit: [values].</w:t>
            </w:r>
          </w:p>
        </w:tc>
        <w:tc>
          <w:tcPr>
            <w:tcW w:w="1587" w:type="dxa"/>
          </w:tcPr>
          <w:p w14:paraId="43BEC15B" w14:textId="77777777" w:rsidR="00660073" w:rsidRDefault="00000000">
            <w:r>
              <w:rPr>
                <w:sz w:val="20"/>
              </w:rPr>
              <w:t>Open</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color w:val="EE0000"/>
                <w:sz w:val="20"/>
              </w:rPr>
              <w:t xml:space="preserve">We checked the units and definitions of </w:t>
            </w:r>
            <w:proofErr w:type="spellStart"/>
            <w:r w:rsidRPr="00DE6DA4">
              <w:rPr>
                <w:color w:val="EE0000"/>
                <w:sz w:val="20"/>
              </w:rPr>
              <w:t>k_ORR</w:t>
            </w:r>
            <w:proofErr w:type="spellEnd"/>
            <w:r w:rsidRPr="00DE6DA4">
              <w:rPr>
                <w:color w:val="EE0000"/>
                <w:sz w:val="20"/>
              </w:rPr>
              <w:t xml:space="preserve">, </w:t>
            </w:r>
            <w:proofErr w:type="spellStart"/>
            <w:r w:rsidRPr="00DE6DA4">
              <w:rPr>
                <w:color w:val="EE0000"/>
                <w:sz w:val="20"/>
              </w:rPr>
              <w:t>δ_Γ</w:t>
            </w:r>
            <w:proofErr w:type="spellEnd"/>
            <w:r w:rsidRPr="00DE6DA4">
              <w:rPr>
                <w:color w:val="EE0000"/>
                <w:sz w:val="20"/>
              </w:rPr>
              <w:t xml:space="preserve"> and C_O₂ (see A1.1) and added a global mass-balance check, based on the stoichiometry 1 mol O</w:t>
            </w:r>
            <w:proofErr w:type="gramStart"/>
            <w:r w:rsidRPr="00DE6DA4">
              <w:rPr>
                <w:color w:val="EE0000"/>
                <w:sz w:val="20"/>
              </w:rPr>
              <w:t>₂ :</w:t>
            </w:r>
            <w:proofErr w:type="gramEnd"/>
            <w:r w:rsidRPr="00DE6DA4">
              <w:rPr>
                <w:color w:val="EE0000"/>
                <w:sz w:val="20"/>
              </w:rPr>
              <w:t xml:space="preserve"> 2 mol Zn, comparing the O₂ consumed at the interface with the Zn lost over 672 h: [result, to be added to the Supplementary Information as Section S[x]].</w:t>
            </w:r>
          </w:p>
        </w:tc>
        <w:tc>
          <w:tcPr>
            <w:tcW w:w="1587" w:type="dxa"/>
          </w:tcPr>
          <w:p w14:paraId="336D02D7" w14:textId="77777777" w:rsidR="00660073" w:rsidRDefault="00000000">
            <w:r>
              <w:rPr>
                <w:sz w:val="20"/>
              </w:rPr>
              <w:t>Open</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color w:val="EE0000"/>
                <w:sz w:val="20"/>
              </w:rPr>
              <w:t>Confirmed; see A1.1.</w:t>
            </w:r>
          </w:p>
        </w:tc>
        <w:tc>
          <w:tcPr>
            <w:tcW w:w="1587" w:type="dxa"/>
          </w:tcPr>
          <w:p w14:paraId="379BEEF2" w14:textId="77777777" w:rsidR="00660073" w:rsidRDefault="00000000">
            <w:r>
              <w:rPr>
                <w:sz w:val="20"/>
              </w:rPr>
              <w:t>Open</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We agree that oxygen-reduction-limited dissolution is a model assumption (Eqs. 1–2), so the Morris ranking alone cannot show that oxygen controls degradation. The Methods state oxygen-limited dissolution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[Soften 'demonstrates' in the Abstract and 'identified … primary driver' in the Conclusions to match.]</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sweeps in the original Fig. 4 used k_f = 100, k_d = 30 and k_ORR = 1.0, not the optimised values, which is why the baseline gave 0.39% at 168 h against about 0.19% in Fig. 5a. We have repeated the sweeps around the calibrated baseline (k_f = 10, k_d = 1, k_ORR = 0.2 [confirm these are the calibrated values and update Table 2]), varying each parameter by the same factors (×0.2 and ×5) with the others fixed. The baseline curve gives 0.20% at 168 h, matching the calibrated simulation in Fig. 5a. [Insert the updated Fig. 4 and revised text in the manuscript.]</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standard deviation of the local penetration depth around the cross-section perimeter. The Fig. 8c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We have reconciled the two statements by giving the cost where each is used. The Results state that calibration is computationally tractable because only three parameters are calibrated, on a coarse mesh at about 2 h per 3D simulation (Table S4). The Discussion describes the high-fidelity validation and stent simulations (about 69 h on 50–64 cores for 672 h on a 19–21 million-element mesh, Table S4)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