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gives O₂ consumed of ~1/32 (24 h) and ~1/24 (168 h) of the stoichiometric need, i.e. about 1/M_O₂ (M_O₂ = 32 g mol⁻¹), because the solver omitted the 1/M_O₂ factor. Eqs. 15–16 now include M_O₂ explicitly, so recession is not stoichiometrically coupled to O₂ consumption in the present formulation.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The Results and captions use “corrosion product”.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(Table 2,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regenerated during corrosion-product breakdown and is in large excess (142.3 mmol L⁻¹; consumption ≤6% disc, &lt;1% stent), so its net consumption is negligible.</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Calibration is tractable (0.8M-element mesh, ~2 h per run; Table S4). The high-fidelity simulations (18.9M elements)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3ED3E71A" w14:textId="77777777" w:rsidR="003F785C" w:rsidRDefault="00E9439A">
      <w:pPr>
        <w:pStyle w:val="Heading1"/>
      </w:pPr>
      <w:r>
        <w:t>D. Second reviewer report</w:t>
      </w:r>
    </w:p>
    <w:p w14:paraId="482B3CC3" w14:textId="77777777" w:rsidR="003F785C" w:rsidRDefault="00E9439A">
      <w:pPr>
        <w:pStyle w:val="Heading2"/>
      </w:pPr>
      <w:r>
        <w:t>D1. Major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Show that Zn recession, Zn²⁺ release, O₂ consumption, OH⁻ generation and corrosion product are mass/charge-consistent; report global balances at 24, 168, 672 h.</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Zn²⁺ and OH⁻ sources (Eqs. 7, 9, 10) use the ORR term, while recession uses the selected velocity (Eq. 17), so the two are not forced to be identical. O₂ consumed is ~1/32 (24 h) and ~1/24 (168 h) of the stoichiometric need (A1.4). A Zn balance (Zn removed by recession vs dissolved Zn + Zn in corrosion product + residual) will be computed from the stored fields and given in the SI. [authors to supply balance values]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Sign convention of min() in Eq. 17.</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Velocities are negative (recession) in the solver, and the selected value is the one with the smallest magnitude, i.e. the slowest process. Eq. 17 will be rewritten with magnitudes, v_rec = min(|v_Zn|, |v_ORR|, |v_O₂|), with the normal direction defined into the electrolyte. Representative values of the three velocities will be given in the SI.</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Justify the hard minimum; compare coupled-flux, series-resistance, hard-minimum and no-cap rules.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v_ORR uses the interfacial O₂ concentration of the discrete field, and v_O₂ limits recession to the O₂ flux available at the interface, so the minimum is a flux-limiter, not a sum of independent serial steps. Rules B and C (blended) and D (no cap) are compared in Table S1; Rule A was chosen on physical grounds and RMSE was not the main criterion. A fully coupled kinetic-flux boundary condition would require re-implementation and is left for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Calibration used a mesh with 26.2% error (0.8M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Calibration used the 0.8M-element mesh, with the simulated mass loss divided by 1.355846 to correct it to the fine-mesh basis (Section S2): the 7-day value 0.2029% becomes 0.1496%, versus 0.1611% on the 18.9M-element mesh. The optimum was then run on the 18.9M-element mesh for validation, so the reported parameters are fine-mesh parameters. The 0.8M and 18.9M curves of the optimum are to be shown in the SI. [authors to supply curves]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Morris ranges differ from calibration ranges; k_f optimum lies outside.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GSA was a screening step done before calibration, so its ranges differ from the calibration space; this is stated in the Table S5 caption. The ranking is led by C_O₂ and k_ORR (μ* about 1.09 and 0.65), well above the k_f and k_d values, and the three calibrated parameters were then calibrated over their own search ranges (Table 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Bayesian optimization is not Bayesian calibration; report GP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text will say 'Gaussian-process-assisted Bayesian optimization' for the parameter search and 'parameter-propagated ensemble interval' for the bands. Settings (GP surrogate, 12-point LHS, expected improvement, seed 1, deterministic objective) are in Table S10 and the 32 evaluations are in the source data (Fig. 3b). [authors to supply: kernel, hyperparameters, normalization, stopping rule, LOO error]</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Parameter identifiability is not established.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k_ORR is the best constrained parameter; among the seven fits within 0.05% RMSE, k_f and k_ORR are correlated (Spearman 0.93) and k_d is weakly constrained (Fig. 3b, Supplementary Fig. 5b). Section S6 propagates 50 parameter sets: 672 h mass loss varies by only 0.330–0.338% (50% interval). Spatial predictions across near-equivalent sets have not been run and are stated as a limitation. [authors: run if feasible]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Interpretation of the corrosion-product law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Eq. 11 is a lumped phenomenological law for net corrosion-product accumulation, not a precipitation-thermodynamics model. F is a mass concentration (g mm⁻³) with F_max = ρ_film(1−ε); the Langmuir factor limits growth to F_max; the product field is fixed in the Eulerian mesh and not attached to the interface. OH⁻ is solved for the interfacial chemistry and pH output only. F/F_max is a normalized corrosion-product saturation, not surface coverage. [authors to confirm: non-negativity treatment]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Experimental weighing and cleaning quality control.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Balance resolution 0.1 mg (limit of detection about 0.01% of a 1.1 g disc). Cleaning: 200 g L⁻¹ chromic acid, room temperature, 10 min, ISO 8407:2009, same protocol for all samples; no blank controls were run (stated as a limitation). The 14 d vs 28 d masses are not distinguishable (p ≈ 0.5), so no plateau is claimed. [authors to supply: balance model, drying, repeat weighings, independent specimens per time point]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Separate calibration, independent validation and out-of-objective comparisons.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Only the 28-day HBSS mass-loss trajectory is independent validation. Zn²⁺ and pH are out-of-objective comparisons with the calibration publication, as stated in the Results. ICP, pH monitoring, composition and film-thickness measurements were not performed in this study and are listed as limitations.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Oxygen boundary condition vs the 48 h refreshed experiment; liquid height and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refresh is not modelled (u = 0, O₂ resupplied at the air interface). A fixed boundary O₂ increased the 672 h mass loss by ~30% (A3.1). The domain is 30 × 30 × 30 mm (27 mL) for disc and stent, while 20 mL cm⁻² of the 2.2 cm² disc area is about 44 mL; this difference is acknowledged. The four boundary-condition comparisons and the specimen-to-surface distance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Neglecting electromigration.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Transport is diffusion-only, as an approximation: the electrolyte contains a large excess of background ions (about 142 mmol L⁻¹ Cl⁻) compared with Zn²⁺ (below about 1 mmol L⁻¹), so migration of the minor species is screened and small. This will be stated as a modelling approximation in the Methods; an electroneutral Nernst–Planck formulation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Eq. 14 and [Zn]_sat.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14 is the Stefan condition for a dissolving interface, with [Zn]_sat the Zn²⁺ concentration at the interface (10 mg L⁻¹, Chen et al. [38]). It is not a ZnO/Zn(OH)₂ solubility or precipitation threshold (B1.2). Sensitivity to this parameter has not been run.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Dimensions and stoichiometry of Eqs. 15–16.</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Eqs. 15–16 now include M_O₂ explicitly (A1.1); [Zn]_sol is the solid molar density of Zn, so M_Zn is not needed. The factor 2 follows from O₂ + 2Zn + 2H₂O → 2Zn²⁺ + 4OH⁻. A step-by-step dimensional derivation will be added to the SI. [authors to write derivation]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Damköhler number and how the 40 h / 100 h transition is defined.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Da is the ratio of interfacial O₂ consumption to O₂ diffusive supply. The transition time is when the O₂-diffusion-limited share of the interface exceeds 99%: 25% at 16 h (Da ≈ 1.0), 51% at 28 h and 99.5% at 40 h for the disc (source data, Fig. 5). The interface fraction per regime will be shown in the SI. Threshold sensitivity is not yet quantified.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Stent prediction is not an in vivo validation; add a baseline.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Abstract and Conclusions say 'same order of magnitude', the Results and Limitations say 'predictive demonstration rather than formal validation'. The SA:V baseline is 12.8% vs the model's 6.0% (A6.1), and the added value is the spatial distribution (A6.2).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Separate SA/V from transport effects.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Mean penetration depth is 1.1 µm for the stent and 2.4 µm for the disc; local maximum penetration is 8.55 µm at the crown (Fig. 7d). The SA:V-scaled baseline (12.8%) vs model (6.0%) is given in A6.1. Remaining cross-section and area-normalized mass loss will be added if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pH is not mechanistic (no buffer).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pH output is an OH⁻-derived apparent pH in an unbuffered approximation and is interpreted qualitatively (A4.7). The Results will say so. Adding a buffer model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Improve statistics for the validation (5 points, R²).</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Absolute errors are 0.004–0.022 percentage points (mean absolute error 0.014), all within 0.35 SD of the mean (Table S11), and the RMSE is 8.6% of the mean measured mass loss. The text will describe the result as 'consistent with the measured trajectory within experimental scatter'. Weighted RMSE, confidence intervals and a residual plot can be added from the replicate data in the source data.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Title and claims vs validation level.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title is retained. The Limitations state that validation is for one disc dataset and that the stent is a geometry-transfer demonstration.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21E5F41B" w14:textId="77777777" w:rsidR="003F785C" w:rsidRDefault="003F785C">
      <w:pPr>
        <w:spacing w:after="40"/>
      </w:pPr>
    </w:p>
    <w:p w14:paraId="482B3CC3" w14:textId="77777777" w:rsidR="003F785C" w:rsidRDefault="00E9439A">
      <w:pPr>
        <w:pStyle w:val="Heading2"/>
      </w:pPr>
      <w:r>
        <w:t>D2. Minor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FreeFEM vs FreeFEM++ naming; give version in Methods.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Will use 'FreeFEM' consistently and give v4.14 in the Methods.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Delta-function implementation.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δ_Γ is a sharp surface integral over the zero level set (FreeFEM int2d, levelset option) with no smoothing parameter (B1.6).</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Time-step convergence.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run. Δt = 0.25 h; runs at 0.5 and 0.125 h are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Level-set volume error from reinitialization.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Remeshing / mesh motion.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mesh is generated once (refined around the initial interface) and is not regenerated or moved during the run; the level set evolves on the fixed mesh, so no field projection is needed.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Mesh claims: calibration mesh is not converged.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will state that the &lt;0.2% change applies to the 18.9M-element mesh and that calibration used a 0.8M-element mesh with the mass loss divided by 1.355846 to the fine-mesh basis (Section S2).</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Define 'film coverage'.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F/F_max is called normalized corrosion-product saturation throughout.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Morris results: give numerical values and variability.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Table S5 caption states the ranges. A table of μ*, μ and σ with trajectory intervals can be added to the SI from the Morris output.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Explain the O₂ range in the Morris analysis.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10⁻⁹–10⁻⁷ g mm⁻³ equals 1–100 mg L⁻¹, i.e. a broad exploratory range around the 3.5 mg L⁻¹ baseline (air-saturated saline is about 6–7 mg L⁻¹). A narrower physiological range will be stated in the SI.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Two uses of 'saturation'.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[Zn]_sat will be described as the interfacial Zn²⁺ concentration of the Stefan condition, and F/F_max as normalized corrosion-product saturation.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Value, units and derivation of F_max.</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F_max = ρ_film(1−ε) = 5.606 g cm⁻³ × (1 − 0.25) = 4.2045 × 10⁻³ g mm⁻³ (mass basis).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Confirm all disc surfaces were exposed.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area 219.9 mm² includes both faces and the edge. [authors to confirm that no surface was masked by a holder]</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Initial mass per time point.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initial masses]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Actual HBSS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20 mL cm⁻² × 2.199 cm² is about 44 mL per disc.</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Medium refresh: same or new container.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Pre-cleaning mass / retained corrosion product.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Pre-cleaning masses were recorded but are not reported; a comparison with the predicted corrosion-product mass is future work.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pH measured during immersion?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state whether pH was monitored]</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Do not present ZnO as the sole film.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model is described as a homogenized ZnO-equivalent corrosion-product representation (A4.2).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Why chloride exponent 2 was fixed.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exponent is an effective order that was fixed and not calibrated or tested in the sensitivity analysis; k_d absorbs its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Is chloride truly catalytic? Eq. 8 vs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8 has no source or sink because Cl⁻ is regenerated during dissolution and is in large excess (B1.4); net consumption is ≤6% (disc) and &lt;1% (stent).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m21</w:t>
            </w:r>
          </w:p>
        </w:tc>
        <w:tc>
          <w:tcPr>
            <w:tcW w:w="3402" w:type="dxa"/>
          </w:tcPr>
          <w:p w14:paraId="56ED496D" w14:textId="77777777" w:rsidR="003F785C" w:rsidRDefault="00E9439A">
            <w:r>
              <w:rPr>
                <w:sz w:val="20"/>
              </w:rPr>
              <w:t>Grammar examples.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Corrected: 'while increasing k_d', 'for k_ORR, where increasing…', and lowercase 'where' after Eq. 15.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m22</w:t>
            </w:r>
          </w:p>
        </w:tc>
        <w:tc>
          <w:tcPr>
            <w:tcW w:w="3402" w:type="dxa"/>
          </w:tcPr>
          <w:p w14:paraId="56ED496D" w14:textId="77777777" w:rsidR="003F785C" w:rsidRDefault="00E9439A">
            <w:r>
              <w:rPr>
                <w:sz w:val="20"/>
              </w:rPr>
              <w:t>Film / layer / region terminology.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uses 'corrosion-product field' for the numerical representation (A2.3).</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m23</w:t>
            </w:r>
          </w:p>
        </w:tc>
        <w:tc>
          <w:tcPr>
            <w:tcW w:w="3402" w:type="dxa"/>
          </w:tcPr>
          <w:p w14:paraId="56ED496D" w14:textId="77777777" w:rsidR="003F785C" w:rsidRDefault="00E9439A">
            <w:r>
              <w:rPr>
                <w:sz w:val="20"/>
              </w:rPr>
              <w:t>Domain-size study (20, 30, 40 mm).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closed-box domain dependence is removed with a fixed boundary O₂ (A3.1). Results for 20/30/40 mm are to be added to the SI.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m24</w:t>
            </w:r>
          </w:p>
        </w:tc>
        <w:tc>
          <w:tcPr>
            <w:tcW w:w="3402" w:type="dxa"/>
          </w:tcPr>
          <w:p w14:paraId="56ED496D" w14:textId="77777777" w:rsidR="003F785C" w:rsidRDefault="00E9439A">
            <w:r>
              <w:rPr>
                <w:sz w:val="20"/>
              </w:rPr>
              <w:t>Specify the top boundary.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top face is the electrolyte–air interface with Dirichlet C_O₂ = 3.5 mg L⁻¹ (Table S4); container walls are no-flux. Specimen position and distance to the interface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m25</w:t>
            </w:r>
          </w:p>
        </w:tc>
        <w:tc>
          <w:tcPr>
            <w:tcW w:w="3402" w:type="dxa"/>
          </w:tcPr>
          <w:p w14:paraId="56ED496D" w14:textId="77777777" w:rsidR="003F785C" w:rsidRDefault="00E9439A">
            <w:r>
              <w:rPr>
                <w:sz w:val="20"/>
              </w:rPr>
              <w:t>Define reaction-controlled fraction.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Each interface point is classified by which velocity is selected (O₂-diffusion cap vs reaction), and the fraction is area-weighted.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m26</w:t>
            </w:r>
          </w:p>
        </w:tc>
        <w:tc>
          <w:tcPr>
            <w:tcW w:w="3402" w:type="dxa"/>
          </w:tcPr>
          <w:p w14:paraId="56ED496D" w14:textId="77777777" w:rsidR="003F785C" w:rsidRDefault="00E9439A">
            <w:r>
              <w:rPr>
                <w:sz w:val="20"/>
              </w:rPr>
              <w:t>Uncertainty of transition times.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transition times are stated as approximate.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m27</w:t>
            </w:r>
          </w:p>
        </w:tc>
        <w:tc>
          <w:tcPr>
            <w:tcW w:w="3402" w:type="dxa"/>
          </w:tcPr>
          <w:p w14:paraId="56ED496D" w14:textId="77777777" w:rsidR="003F785C" w:rsidRDefault="00E9439A">
            <w:r>
              <w:rPr>
                <w:sz w:val="20"/>
              </w:rPr>
              <w:t>Corrosion-rate definition (Fig. 5b).</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plotted rate is from Eq. S1. Whether it is cumulative-average or instantaneous will be stated in the caption.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m28</w:t>
            </w:r>
          </w:p>
        </w:tc>
        <w:tc>
          <w:tcPr>
            <w:tcW w:w="3402" w:type="dxa"/>
          </w:tcPr>
          <w:p w14:paraId="56ED496D" w14:textId="77777777" w:rsidR="003F785C" w:rsidRDefault="00E9439A">
            <w:r>
              <w:rPr>
                <w:sz w:val="20"/>
              </w:rPr>
              <w:t>Evolving-area normalization in Eq. S1.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 comparison with initial-area and instantaneous-recession rates is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m29</w:t>
            </w:r>
          </w:p>
        </w:tc>
        <w:tc>
          <w:tcPr>
            <w:tcW w:w="3402" w:type="dxa"/>
          </w:tcPr>
          <w:p w14:paraId="56ED496D" w14:textId="77777777" w:rsidR="003F785C" w:rsidRDefault="00E9439A">
            <w:r>
              <w:rPr>
                <w:sz w:val="20"/>
              </w:rPr>
              <w:t>State ensemble limitations in the main text.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One sentence will be added: the bands exclude measurement, numerical, structural and boundary-condition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m30</w:t>
            </w:r>
          </w:p>
        </w:tc>
        <w:tc>
          <w:tcPr>
            <w:tcW w:w="3402" w:type="dxa"/>
          </w:tcPr>
          <w:p w14:paraId="56ED496D" w14:textId="77777777" w:rsidR="003F785C" w:rsidRDefault="00E9439A">
            <w:r>
              <w:rPr>
                <w:sz w:val="20"/>
              </w:rPr>
              <w:t>Four of six points in the 95% interval.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interval is parameter-propagated only, not a predictive interval, so this is expected. The SI wording will make this explicit.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m31</w:t>
            </w:r>
          </w:p>
        </w:tc>
        <w:tc>
          <w:tcPr>
            <w:tcW w:w="3402" w:type="dxa"/>
          </w:tcPr>
          <w:p w14:paraId="56ED496D" w14:textId="77777777" w:rsidR="003F785C" w:rsidRDefault="00E9439A">
            <w:r>
              <w:rPr>
                <w:sz w:val="20"/>
              </w:rPr>
              <w:t>'Rapid convergence' wording.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Removed: 'rapid convergence' and 'distinct optimum' are replaced by a statement that the lowest RMSE was found at iteration 22.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m32</w:t>
            </w:r>
          </w:p>
        </w:tc>
        <w:tc>
          <w:tcPr>
            <w:tcW w:w="3402" w:type="dxa"/>
          </w:tcPr>
          <w:p w14:paraId="56ED496D" w14:textId="77777777" w:rsidR="003F785C" w:rsidRDefault="00E9439A">
            <w:r>
              <w:rPr>
                <w:sz w:val="20"/>
              </w:rPr>
              <w:t>Reproducibility files.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Zenodo record will include the source code, geometry scripts, parameter files, solver settings, calibration history and seeds. [authors to confirm contents]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m33</w:t>
            </w:r>
          </w:p>
        </w:tc>
        <w:tc>
          <w:tcPr>
            <w:tcW w:w="3402" w:type="dxa"/>
          </w:tcPr>
          <w:p w14:paraId="56ED496D" w14:textId="77777777" w:rsidR="003F785C" w:rsidRDefault="00E9439A">
            <w:r>
              <w:rPr>
                <w:sz w:val="20"/>
              </w:rPr>
              <w:t>Hardware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processor, memory, nodes, interconnect]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m34</w:t>
            </w:r>
          </w:p>
        </w:tc>
        <w:tc>
          <w:tcPr>
            <w:tcW w:w="3402" w:type="dxa"/>
          </w:tcPr>
          <w:p w14:paraId="56ED496D" w14:textId="77777777" w:rsidR="003F785C" w:rsidRDefault="00E9439A">
            <w:r>
              <w:rPr>
                <w:sz w:val="20"/>
              </w:rPr>
              <w:t>Average DOF per process.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values are per scalar field (about vertices ÷ processes). The Table S4 label will say so.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m35</w:t>
            </w:r>
          </w:p>
        </w:tc>
        <w:tc>
          <w:tcPr>
            <w:tcW w:w="3402" w:type="dxa"/>
          </w:tcPr>
          <w:p w14:paraId="56ED496D" w14:textId="77777777" w:rsidR="003F785C" w:rsidRDefault="00E9439A">
            <w:r>
              <w:rPr>
                <w:sz w:val="20"/>
              </w:rPr>
              <w:t>Solver coupling.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monolithic or sequential, iteration order, criteria]</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m36</w:t>
            </w:r>
          </w:p>
        </w:tc>
        <w:tc>
          <w:tcPr>
            <w:tcW w:w="3402" w:type="dxa"/>
          </w:tcPr>
          <w:p w14:paraId="56ED496D" w14:textId="77777777" w:rsidR="003F785C" w:rsidRDefault="00E9439A">
            <w:r>
              <w:rPr>
                <w:sz w:val="20"/>
              </w:rPr>
              <w:t>Nonlinear convergence behaviour.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typical iteration counts and any time-step reductions]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m37</w:t>
            </w:r>
          </w:p>
        </w:tc>
        <w:tc>
          <w:tcPr>
            <w:tcW w:w="3402" w:type="dxa"/>
          </w:tcPr>
          <w:p w14:paraId="56ED496D" w14:textId="77777777" w:rsidR="003F785C" w:rsidRDefault="00E9439A">
            <w:r>
              <w:rPr>
                <w:sz w:val="20"/>
              </w:rPr>
              <w:t>Define the two RMSE values.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Both are RMSE of mass loss in percentage points (same formula, Eq. in SI S5).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m38</w:t>
            </w:r>
          </w:p>
        </w:tc>
        <w:tc>
          <w:tcPr>
            <w:tcW w:w="3402" w:type="dxa"/>
          </w:tcPr>
          <w:p w14:paraId="56ED496D" w14:textId="77777777" w:rsidR="003F785C" w:rsidRDefault="00E9439A">
            <w:r>
              <w:rPr>
                <w:sz w:val="20"/>
              </w:rPr>
              <w:t>Percentage ambiguity.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Errors are in percentage points; the labels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m39</w:t>
            </w:r>
          </w:p>
        </w:tc>
        <w:tc>
          <w:tcPr>
            <w:tcW w:w="3402" w:type="dxa"/>
          </w:tcPr>
          <w:p w14:paraId="56ED496D" w14:textId="77777777" w:rsidR="003F785C" w:rsidRDefault="00E9439A">
            <w:r>
              <w:rPr>
                <w:sz w:val="20"/>
              </w:rPr>
              <w:t>Show individual data points.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three replicates per time point are in the source data (Fig. 5a,b); a figure with individual points can be added.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m40</w:t>
            </w:r>
          </w:p>
        </w:tc>
        <w:tc>
          <w:tcPr>
            <w:tcW w:w="3402" w:type="dxa"/>
          </w:tcPr>
          <w:p w14:paraId="56ED496D" w14:textId="77777777" w:rsidR="003F785C" w:rsidRDefault="00E9439A">
            <w:r>
              <w:rPr>
                <w:sz w:val="20"/>
              </w:rPr>
              <w:t>Label validated vs literature comparisons in Fig. 5.</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Panels a–b are independent validation; panels e–f are out-of-objective literature comparisons. The caption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m41</w:t>
            </w:r>
          </w:p>
        </w:tc>
        <w:tc>
          <w:tcPr>
            <w:tcW w:w="3402" w:type="dxa"/>
          </w:tcPr>
          <w:p w14:paraId="56ED496D" w14:textId="77777777" w:rsidR="003F785C" w:rsidRDefault="00E9439A">
            <w:r>
              <w:rPr>
                <w:sz w:val="20"/>
              </w:rPr>
              <w:t>Scale bars and colour limits.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update figures]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m42</w:t>
            </w:r>
          </w:p>
        </w:tc>
        <w:tc>
          <w:tcPr>
            <w:tcW w:w="3402" w:type="dxa"/>
          </w:tcPr>
          <w:p w14:paraId="56ED496D" w14:textId="77777777" w:rsidR="003F785C" w:rsidRDefault="00E9439A">
            <w:r>
              <w:rPr>
                <w:sz w:val="20"/>
              </w:rPr>
              <w:t>How penetration depth is extracted.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the extraction from the level set]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m43</w:t>
            </w:r>
          </w:p>
        </w:tc>
        <w:tc>
          <w:tcPr>
            <w:tcW w:w="3402" w:type="dxa"/>
          </w:tcPr>
          <w:p w14:paraId="56ED496D" w14:textId="77777777" w:rsidR="003F785C" w:rsidRDefault="00E9439A">
            <w:r>
              <w:rPr>
                <w:sz w:val="20"/>
              </w:rPr>
              <w:t>Report numerator and denominator of ratios.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150° arc: outer 3.72 µm and inner 0.28 µm (13.2×); stent crown: 8.55 and 4.76 µm (1.8×) (B4.3). The values will be added to the Fig. 8d caption.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m44</w:t>
            </w:r>
          </w:p>
        </w:tc>
        <w:tc>
          <w:tcPr>
            <w:tcW w:w="3402" w:type="dxa"/>
          </w:tcPr>
          <w:p w14:paraId="56ED496D" w14:textId="77777777" w:rsidR="003F785C" w:rsidRDefault="00E9439A">
            <w:r>
              <w:rPr>
                <w:sz w:val="20"/>
              </w:rPr>
              <w:t>Resolution of µm penetration with 5 µm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interface is a sub-element zero contour of a P1 function, and the conclusions use integrated quantities and outer/inner differences of several µm (B2.2). A local-penetration convergence run with a finer mesh is needed to confirm differences below about 1 µm.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m45</w:t>
            </w:r>
          </w:p>
        </w:tc>
        <w:tc>
          <w:tcPr>
            <w:tcW w:w="3402" w:type="dxa"/>
          </w:tcPr>
          <w:p w14:paraId="56ED496D" w14:textId="77777777" w:rsidR="003F785C" w:rsidRDefault="00E9439A">
            <w:r>
              <w:rPr>
                <w:sz w:val="20"/>
              </w:rPr>
              <w:t>Local penetration convergence study.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As m44: not yet run.</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m46</w:t>
            </w:r>
          </w:p>
        </w:tc>
        <w:tc>
          <w:tcPr>
            <w:tcW w:w="3402" w:type="dxa"/>
          </w:tcPr>
          <w:p w14:paraId="56ED496D" w14:textId="77777777" w:rsidR="003F785C" w:rsidRDefault="00E9439A">
            <w:r>
              <w:rPr>
                <w:sz w:val="20"/>
              </w:rPr>
              <w:t>Describe the stent as an idealized ring.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geometry is a single-ring, six-crown idealized stent (Fig. S3c); the text will say 'idealized six-crown stent ring'.</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m47</w:t>
            </w:r>
          </w:p>
        </w:tc>
        <w:tc>
          <w:tcPr>
            <w:tcW w:w="3402" w:type="dxa"/>
          </w:tcPr>
          <w:p w14:paraId="56ED496D" w14:textId="77777777" w:rsidR="003F785C" w:rsidRDefault="00E9439A">
            <w:r>
              <w:rPr>
                <w:sz w:val="20"/>
              </w:rPr>
              <w:t>Do not imply mechanical failure results.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 mechanical analysis is performed; statements on thinning and failure are hypotheses and will be worded accordingly.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m48</w:t>
            </w:r>
          </w:p>
        </w:tc>
        <w:tc>
          <w:tcPr>
            <w:tcW w:w="3402" w:type="dxa"/>
          </w:tcPr>
          <w:p w14:paraId="56ED496D" w14:textId="77777777" w:rsidR="003F785C" w:rsidRDefault="00E9439A">
            <w:r>
              <w:rPr>
                <w:sz w:val="20"/>
              </w:rPr>
              <w:t>Abstract: stent result is a geometry-transfer demonstration.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Abstract states 'same order of magnitude as reported in vivo observations'; the Limitations state it is a demonstration, not formal validation.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m49</w:t>
            </w:r>
          </w:p>
        </w:tc>
        <w:tc>
          <w:tcPr>
            <w:tcW w:w="3402" w:type="dxa"/>
          </w:tcPr>
          <w:p w14:paraId="56ED496D" w14:textId="77777777" w:rsidR="003F785C" w:rsidRDefault="00E9439A">
            <w:r>
              <w:rPr>
                <w:sz w:val="20"/>
              </w:rPr>
              <w:t>Final sentence of the Conclusions.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Changed from 'enabling' to 'which could enable'.</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m50</w:t>
            </w:r>
          </w:p>
        </w:tc>
        <w:tc>
          <w:tcPr>
            <w:tcW w:w="3402" w:type="dxa"/>
          </w:tcPr>
          <w:p w14:paraId="56ED496D" w14:textId="77777777" w:rsidR="003F785C" w:rsidRDefault="00E9439A">
            <w:r>
              <w:rPr>
                <w:sz w:val="20"/>
              </w:rPr>
              <w:t>Reference and formatting checks.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References are being rechecked (volume, issue, DOI, access dates, SI numbering). [authors to complete]</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bl>
    <w:p w14:paraId="21E5F41B" w14:textId="77777777" w:rsidR="003F785C" w:rsidRDefault="003F785C">
      <w:pPr>
        <w:spacing w:after="40"/>
      </w:pP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