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r w:rsidRPr="00A60AFE">
        <w:t xml:space="preserve">of the same order of magnitude 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corrosion-product</w:t>
      </w:r>
      <w:r w:rsidR="00246AE0" w:rsidRPr="001A2EB4">
        <w:t xml:space="preserve"> 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The reaction term was applied exclusively at the moving Zn–electrolyte interface, such that oxygen must diffuse to the Zn surface before being consumed. The interface term δ_Γ is a sharp surface integral over the zero level set (FreeFEM int2d with the levelset option), with no smoothing parameter; a smoothed delta function with a width equal to the minimum mesh size is used only in post-processing averages.</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is treated as effectively non-consumed, because it is in large excess (142.3 mmol L⁻¹) and is not appreciably depleted by corrosion-product dissolution </w:t>
      </w:r>
      <w:r w:rsidRPr="001A2EB4">
        <w:rPr>
          <w:rFonts w:cs="Times New Roman"/>
        </w:rPr>
      </w:r>
      <w:r w:rsidRPr="001A2EB4">
        <w:rPr>
          <w:rFonts w:cs="Times New Roman"/>
        </w:rPr>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w:t>
      </w:r>
      <w:r w:rsidR="007567C8" w:rsidRPr="007567C8">
        <w:rPr>
          <w:rFonts w:cs="Times New Roman"/>
        </w:rPr>
        <w:t xml:space="preserve"> products.</w:t>
      </w:r>
      <w:r w:rsidR="009F4B7F" w:rsidRPr="001A2EB4">
        <w:rPr>
          <w:rFonts w:cs="Times New Roman"/>
        </w:rPr>
        <w:t xml:space="preserve"> </w:t>
      </w:r>
      <w:r w:rsidR="009F4B7F" w:rsidRPr="001A2EB4">
        <w:rPr>
          <w:rFonts w:cs="Times New Roman"/>
        </w:rPr>
        <w:t xml:space="preserve">At the same time, chloride-induced </w:t>
      </w:r>
      <w:r w:rsidR="009F4B7F" w:rsidRPr="001A2EB4">
        <w:rPr>
          <w:rFonts w:cs="Times New Roman"/>
        </w:rPr>
        <w:t>corrosion-product</w:t>
      </w:r>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lastRenderedPageBreak/>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The chloride exponent in Eq. 11 is an effective reaction order, not the stoichiometric one of Eq. 5.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(in g mm⁻³)</w:t>
      </w:r>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corrosion</w:t>
      </w:r>
      <w:r w:rsidRPr="001A2EB4">
        <w:t xml:space="preserve"> </w:t>
      </w:r>
      <w:r w:rsidRPr="001A2EB4">
        <w:t>products accumulate</w:t>
      </w:r>
      <w:r w:rsidRPr="001A2EB4">
        <w:t xml:space="preserve">, </w:t>
      </w:r>
      <w:r w:rsidRPr="001A2EB4">
        <w:t xml:space="preserve">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 xml:space="preserve">corrosion-product region's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oMath>
      <w:r w:rsidRPr="001A2EB4">
        <w:rPr>
          <w:rFonts w:cs="Times New Roman"/>
        </w:rPr>
        <w:t xml:space="preserve"> is the solid mass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 mass concentration); [Zn]sol, used below, is the solid molar density of Zn.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In Eqs. 15 and 16, C_O₂ (3.5 mg L⁻¹, i.e. 1.09 × 10⁻¹⁰ mol mm⁻³) is molar and M_O₂ is the molar mass of O₂. M_O₂C_O₂ is the O₂ mass concentration used by the solver and [Zn]sol is the molar density, so k_ORR is an effective coefficient that also carries a unit factor of mol g⁻¹.</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r w:rsidR="00024712" w:rsidRPr="001A2EB4">
        <w:t>, identical for the disc and the stent and larger than</w:t>
      </w:r>
      <w:r w:rsidR="00024712" w:rsidRPr="001A2EB4">
        <w:t xml:space="preserve">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48 h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 A global mass balance shows that the O₂ consumed at the interface is about 1/32 of the stoichiometric requirement for the Zn lost at 24 h and about 1/24 at 168 h (Section S8), so Zn recession is not stoichiometrically coupled to O₂ consumption in the present formulation.</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Each parameter was varied above and below the baseline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basis for predictive Zn biodegradation modeling, subject to independent validation.</w:t>
      </w:r>
      <w:r w:rsidR="00B31A12" w:rsidRPr="001A2EB4">
        <w:t xml:space="preserve">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w:r>
              <w:t>L² mol⁻² h⁻¹</w:t>
            </w:r>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[5, 100]</w:t>
            </w:r>
            <w:r w:rsidR="004A6E12" w:rsidRPr="001A2EB4">
              <w:rPr>
                <w:rFonts w:cs="Times New Roman"/>
                <w:sz w:val="22"/>
                <w:szCs w:val="22"/>
              </w:rPr>
            </w:r>
            <w:r w:rsidRPr="001A2EB4">
              <w:rPr>
                <w:rFonts w:cs="Times New Roman"/>
                <w:sz w:val="22"/>
                <w:szCs w:val="22"/>
              </w:rPr>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[0.05, 5.0]</w:t>
            </w:r>
            <w:r w:rsidR="004A6E12" w:rsidRPr="001A2EB4">
              <w:rPr>
                <w:rFonts w:cs="Times New Roman"/>
                <w:sz w:val="22"/>
                <w:szCs w:val="22"/>
              </w:rPr>
            </w:r>
            <w:r w:rsidRPr="001A2EB4">
              <w:rPr>
                <w:rFonts w:cs="Times New Roman"/>
                <w:sz w:val="22"/>
                <w:szCs w:val="22"/>
              </w:rPr>
            </w:r>
            <w:r w:rsidR="004A6E12" w:rsidRPr="001A2EB4">
              <w:rPr>
                <w:rFonts w:cs="Times New Roman"/>
                <w:sz w:val="22"/>
                <w:szCs w:val="22"/>
              </w:rPr>
            </w:r>
            <w:r w:rsidRPr="001A2EB4">
              <w:rPr>
                <w:rFonts w:cs="Times New Roman"/>
                <w:sz w:val="22"/>
                <w:szCs w:val="22"/>
              </w:rPr>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w:r>
              <w:t>M(O₂)</w:t>
            </w:r>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w:r>
              <w:t>g mol⁻¹</w:t>
            </w:r>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t>fixed</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t>32</w:t>
            </w:r>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 xml:space="preserve">corrosion-product </w:t>
      </w:r>
      <w:r w:rsidR="005B7B5E" w:rsidRPr="001A2EB4">
        <w:t xml:space="preserve">retention and leading to lower </w:t>
      </w:r>
      <w:r w:rsidR="005B7B5E" w:rsidRPr="001A2EB4">
        <w:t>corrosion-product saturation</w:t>
      </w:r>
      <w:r w:rsidR="005B7B5E" w:rsidRPr="001A2EB4">
        <w:t xml:space="preserve"> </w:t>
      </w:r>
      <w:r w:rsidR="000631D6" w:rsidRPr="001A2EB4">
        <w:rPr>
          <w:b/>
          <w:bCs/>
        </w:rPr>
        <w:lastRenderedPageBreak/>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 xml:space="preserve">corrosion-product </w:t>
      </w:r>
      <w:r w:rsidR="005B7B5E" w:rsidRPr="001A2EB4">
        <w:t xml:space="preserve">formation and dissolution, making </w:t>
      </w:r>
      <w:r w:rsidR="005B7B5E" w:rsidRPr="001A2EB4">
        <w:t>corrosion-product saturation</w:t>
      </w:r>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r w:rsidR="007600C0" w:rsidRPr="001A2EB4">
        <w:rPr>
          <w:rFonts w:cs="Times New Roman"/>
        </w:rPr>
        <w:t xml:space="preserve"> products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 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r w:rsidRPr="001A2EB4">
        <w:t xml:space="preserve">the normalized corrosion-product saturation, F/Fₘₐₓ </w:t>
      </w:r>
      <w:r w:rsidRPr="001A2EB4">
        <w:t>(%), and panels (g</w:t>
      </w:r>
      <w:del w:id="18" w:author="Claude" w:date="2026-10-08T04:28:00Z">
        <w:r>
          <w:delText>-</w:delText>
        </w:r>
      </w:del>
      <w:ins w:id="19" w:author="Claude" w:date="2026-10-08T04:28:00Z">
        <w:r w:rsidRPr="001A2EB4">
          <w:t>–</w:t>
        </w:r>
      </w:ins>
      <w:r w:rsidRPr="001A2EB4">
        <w:t>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 xml:space="preserve">diffuse 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Pr="001A2EB4">
        <w:rPr>
          <w:rFonts w:cs="Times New Roman"/>
        </w:rPr>
        <w:t>,</w:t>
      </w:r>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 xml:space="preserve">2.8% </w:t>
      </w:r>
      <w:r w:rsidRPr="001A2EB4">
        <w:rPr>
          <w:rFonts w:cs="Times New Roman"/>
        </w:rPr>
        <w:t xml:space="preserve">for </w:t>
      </w:r>
      <w:proofErr w:type="spellStart"/>
      <w:r w:rsidRPr="001A2EB4">
        <w:rPr>
          <w:rFonts w:cs="Times New Roman"/>
        </w:rPr>
        <w:t>pH.</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 xml:space="preserve">Figure S8</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 xml:space="preserve">4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r w:rsidR="001D5CB5" w:rsidRPr="001A2EB4">
        <w:t>(error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r w:rsidR="005757F6">
        <w:t xml:space="preserve"> products are </w:t>
      </w:r>
      <w:r w:rsidR="005757F6">
        <w:t xml:space="preserve">treated as a homogenized </w:t>
      </w:r>
      <w:proofErr w:type="spellStart"/>
      <w:r w:rsidR="005757F6">
        <w:t>ZnO</w:t>
      </w:r>
      <w:proofErr w:type="spellEnd"/>
      <w:r w:rsidR="005757F6">
        <w:t xml:space="preserve">-based </w:t>
      </w:r>
      <w:r w:rsidR="005757F6">
        <w:t xml:space="preserve">field </w:t>
      </w:r>
      <w:r w:rsidR="005757F6">
        <w:t>rather than</w:t>
      </w:r>
      <w:r w:rsidR="005757F6">
        <w:t xml:space="preserve"> a discrete surface film or </w:t>
      </w:r>
      <w:r w:rsidR="005757F6">
        <w:t>a heterogeneous, composition-dependent structure, and phosphate-, carbonate-, calcium-, and chloride-containing phases, which can form within hours to days in vitro, are not explicitly resolved</w:t>
      </w:r>
      <w:r w:rsidR="00492114">
        <w:t xml:space="preserve">. The film field is defined on the fixed mesh on the electrolyte side of the moving interface rather than attached to it, and the ZnO/Zn volume ratio (about 1.6) is not represented.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lastRenderedPageBreak/>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Because O₂ consumption at the interface is not stoichiometrically coupled to Zn loss, the absolute interfacial O₂ depletion in Figures 4g–i and 5d is underestimated relative to a stoichiometric model, and these panels should be read as relative patterns. Independent measurements of Zn²⁺ release by ICP and direct mechanism tests, such as film thickness from FIB or SEM cross-sections or stirred and different-O₂ experiments, were not performed and are also needed.</w:t>
      </w:r>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high-fidelity</w:t>
      </w:r>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pPr>
    </w:p>
    <w:p w14:paraId="6233A8DD" w14:textId="77777777" w:rsidR="00527833" w:rsidRDefault="00527833" w:rsidP="00711ECD">
      <w:pPr>
        <w:pStyle w:val="BodyText"/>
        <w:ind w:firstLine="0"/>
      </w:pPr>
    </w:p>
    <w:p w14:paraId="1A4D172F" w14:textId="77777777" w:rsidR="00527833" w:rsidRPr="001A2EB4" w:rsidRDefault="00527833" w:rsidP="00711ECD">
      <w:pPr>
        <w:pStyle w:val="BodyText"/>
        <w:ind w:firstLine="0"/>
      </w:pPr>
    </w:p>
    <w:bookmarkEnd w:id="24"/>
    <w:p w14:paraId="516B3B1A" w14:textId="77777777" w:rsidR="000631D6" w:rsidRPr="001A2EB4" w:rsidRDefault="000631D6" w:rsidP="000631D6">
      <w:pPr>
        <w:pStyle w:val="Heading1"/>
      </w:pPr>
      <w:r w:rsidRPr="001A2EB4">
        <w:lastRenderedPageBreak/>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r w:rsidRPr="005B5344">
        <w:t xml:space="preserve"> </w:t>
      </w:r>
      <w:r w:rsidRPr="005B5344">
        <w:t xml:space="preserve">of the same order of magnitude as </w:t>
      </w:r>
      <w:r w:rsidRPr="005B5344">
        <w:t xml:space="preserve">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lastRenderedPageBreak/>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