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We confirm the estimate: Eq. 15 evaluated with C_O₂ in mol mm⁻³ and no further factor gives 1.0 × 10⁻⁶ mm h⁻¹ (0.009 mm yr⁻¹). Our audit found that the solver stores C_O₂ as a mass concentration (g mm⁻³) and evaluates the ORR velocity without a molar-mass conversion, so the simulated velocity is 32 times the molar form for the same k_ORR. Eqs. 15–16 now contain the molar mass M_O₂ explicitly and state the basis of each quantity: C_O₂ is molar (3.5 mg L⁻¹ = 1.09 × 10⁻¹⁰ mol mm⁻³), M_O₂C_O₂ is the O₂ mass concentration the solver uses, and [Zn]sol is the molar density. k_ORR is therefore an effective coefficient that also carries a unit factor of mol g⁻¹. Eq. 14 uses the Zn mass density ρ_Zn and a mass-basis [Zn]sat, as in the solver. The O₂ sink (Eq. 7) is unchanged and uses k_ORR = 0.51 mm h⁻¹. With these equations the reaction ceiling at k_ORR = 0.51 mm h⁻¹ is 0.29 mm yr⁻¹ (about 3% mass loss in 28 days), above the simulated rates (0.12 mm yr⁻¹ disc, 0.155 mm yr⁻¹ stent) and the measured 0.31%. The reported results are therefore consistent with the equations as now written; only the printed equations were inconsistent.</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response to A1.1. The corrosion rates in Figures 5b and 6b are the values computed by the implemented model, and they are below the reaction ceiling of 0.29 mm yr⁻¹ at k_ORR = 0.51 mm h⁻¹.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reaction ceilings for k_ORR = 0.04, 0.2 and 1 are 0.06, 0.30 and 1.5%, and the simulated mass losses are 0.04, 0.20 and 0.63%, all below the ceiling.</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We added a global mass balance (Section S8, Table S13). The O₂ consumed at the interface is about 1/32 of the stoichiometric requirement for the Zn lost at 24 h and about 1/24 at 168 h, for all three k_ORR values tested. This confirms that the M_O₂ factor acts as an effective one and that Zn recession is not stoichiometrically coupled to O₂ consumption in the present formulation. The Methods and Limitations now state this, and note that the absolute interfacial O₂ depletion in Figs. 4g–i and 5d is underestimated relative to a stoichiometric model, so these panels show relative patterns.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1.0 × 10⁻⁶ mm h⁻¹, i.e. 0.009 mm yr⁻¹ (see A1.1). Eqs. 15–16 now contain the factor M_O₂ = 32 that the solver applies, so the printed equations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We agree that oxygen-reduction-limited dissolution is a model assumption (Eqs. 1–2), so the Morris ranking alone cannot show that oxygen controls degradation. The Methods state oxygen-limited dissolution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[Soften 'demonstrates' in the Abstract and 'identified … primary driver' in the Conclusions to match.]</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sweeps in the original Fig. 4 used k_f = 100, k_d = 30 and k_ORR = 1.0, not the optimised values, which is why the baseline gave 0.39% at 168 h against about 0.19% in Fig. 5a. We have repeated the sweeps around the calibrated baseline (k_f = 10, k_d = 1, k_ORR = 0.2 [confirm these are the calibrated values and update Table 2]), varying each parameter by the same factors (×0.2 and ×5) with the others fixed. The baseline curve gives 0.20% at 168 h, matching the calibrated simulation in Fig. 5a. [Insert the updated Fig. 4 and revised text in the manuscript.]</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standard deviation of the local penetration depth around the cross-section perimeter. The Fig. 8c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We have reconciled the two statements by giving the cost where each is used. The Results state that calibration is computationally tractable because only three parameters are calibrated, on a coarse mesh at about 2 h per 3D simulation (Table S4). The Discussion describes the high-fidelity validation and stent simulations (about 69 h on 50–64 cores for 672 h on a 19–21 million-element mesh, Table S4)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