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ORR ceilings for k_ORR = 0.04, 0.16 and 1 are 0.06, 0.24 and 1.5%,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This is why there is a difference in RMSE.</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[Add parameter correlations and profile or bootstrap intervals once BO is re-run; k_ORR is expected to be well constrained and k_f and k_d only through their ratio.]</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not the optimised values, giving 0.39% at 168 h against about 0.19% in Fig. 5a. Fig. 4 has been recomputed around the baseline values; the baseline now gives 0.20% at 168 h, matching Fig. 5a.</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The 13.2× has a very small denominator (0.28 µm, below the interface mesh size), so it is poorly constrained; the absolute differences are similar (3.4 µm for the arc, 3.8 µm for the crown).</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