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in the manuscript are being corrected. [Update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[Give the rationale or reference for the second-order dependence.]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0.8-million-element mesh (about 2 h per run), mapped to the fine mesh with 0.004% error. An axisymmetric model would be cheaper for calibration, but the 3D formulation was kept so that calibration and the stent prediction use the same model. [Delete this note if no axisymmetric check is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 (3.4 µm) is reported alongside it. The stent crown (Fig. 7d) gives 8.55 and 4.76 µm (1.8×, a 3.8 µm difference); the isolated 150° arc (radius 0.63 mm) confines its inner side more strongly. [Confirm the depths are taken at the arc apex and add the absolute differences to the Results.]</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