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interface 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S1–S2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144C7C4A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Calibration by Bayesian optimization</w:t>
            </w:r>
            <w:ins w:id="9001" w:author="Claude" w:date="2026-10-09T22:52:19Z">
              <w:r>
                <w:rPr>
                  <w:sz w:val="20"/>
                  <w:szCs w:val="20"/>
                </w:rPr>
                <w:t xml:space="preserve"> and validation</w:t>
              </w:r>
            </w:ins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</w:t>
            </w:r>
            <w:del w:id="9004" w:author="Claude" w:date="2026-10-09T22:52:19Z">
              <w:r>
                <w:rPr>
                  <w:sz w:val="20"/>
                  <w:szCs w:val="20"/>
                </w:rPr>
                <w:delText xml:space="preserve">Figure</w:delText>
              </w:r>
            </w:del>
            <w:ins w:id="9003" w:author="Claude" w:date="2026-10-09T22:52:19Z">
              <w:r>
                <w:rPr>
                  <w:sz w:val="20"/>
                  <w:szCs w:val="20"/>
                </w:rPr>
                <w:t xml:space="preserve">Figures</w:t>
              </w:r>
            </w:ins>
            <w:r>
              <w:rPr>
                <w:sz w:val="20"/>
                <w:szCs w:val="20"/>
              </w:rPr>
              <w:t xml:space="preserve"> S4</w:t>
            </w:r>
            <w:ins w:id="9002" w:author="Claude" w:date="2026-10-09T22:52:19Z">
              <w:r>
                <w:rPr>
                  <w:sz w:val="20"/>
                  <w:szCs w:val="20"/>
                </w:rPr>
                <w:t xml:space="preserve">–S5</w:t>
              </w:r>
            </w:ins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S11; Figure </w:t>
            </w:r>
            <w:del w:id="9006" w:author="Claude" w:date="2026-10-09T22:52:19Z">
              <w:r>
                <w:rPr>
                  <w:sz w:val="20"/>
                  <w:szCs w:val="20"/>
                </w:rPr>
                <w:delText xml:space="preserve">S5</w:delText>
              </w:r>
            </w:del>
            <w:ins w:id="9005" w:author="Claude" w:date="2026-10-09T22:52:19Z">
              <w:r>
                <w:rPr>
                  <w:sz w:val="20"/>
                  <w:szCs w:val="20"/>
                </w:rPr>
                <w:t xml:space="preserve">S6</w:t>
              </w:r>
            </w:ins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S12; Figures </w:t>
            </w:r>
            <w:del w:id="9010" w:author="Claude" w:date="2026-10-09T22:52:19Z">
              <w:r>
                <w:rPr>
                  <w:sz w:val="20"/>
                  <w:szCs w:val="20"/>
                </w:rPr>
                <w:delText xml:space="preserve">S6</w:delText>
              </w:r>
            </w:del>
            <w:ins w:id="9009" w:author="Claude" w:date="2026-10-09T22:52:19Z">
              <w:r>
                <w:rPr>
                  <w:sz w:val="20"/>
                  <w:szCs w:val="20"/>
                </w:rPr>
                <w:t xml:space="preserve">S7</w:t>
              </w:r>
            </w:ins>
            <w:r>
              <w:rPr>
                <w:sz w:val="20"/>
                <w:szCs w:val="20"/>
              </w:rPr>
              <w:t xml:space="preserve">–</w:t>
            </w:r>
            <w:del w:id="9008" w:author="Claude" w:date="2026-10-09T22:52:19Z">
              <w:r>
                <w:rPr>
                  <w:sz w:val="20"/>
                  <w:szCs w:val="20"/>
                </w:rPr>
                <w:delText xml:space="preserve">S8</w:delText>
              </w:r>
            </w:del>
            <w:ins w:id="9007" w:author="Claude" w:date="2026-10-09T22:52:19Z">
              <w:r>
                <w:rPr>
                  <w:sz w:val="20"/>
                  <w:szCs w:val="20"/>
                </w:rPr>
                <w:t xml:space="preserve">S10</w:t>
              </w:r>
            </w:ins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t>S1. Model equations and interface 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 xml:space="preserve">Over a transport length δ, with 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</w:t>
      </w:r>
      <w:proofErr w:type="gramStart"/>
      <w:r w:rsidRPr="00430123">
        <w:rPr>
          <w:vertAlign w:val="subscript"/>
        </w:rPr>
        <w:t>2,eff</w:t>
      </w:r>
      <w:proofErr w:type="gramEnd"/>
      <w:r w:rsidRPr="00430123">
        <w:t>(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proofErr w:type="gramStart"/>
      <w:r w:rsidRPr="00430123">
        <w:t>/(</w:t>
      </w:r>
      <w:proofErr w:type="gramEnd"/>
      <w:r w:rsidRPr="00430123">
        <w:t xml:space="preserve">1 + </w:t>
      </w:r>
      <w:proofErr w:type="spellStart"/>
      <w:r w:rsidRPr="00430123">
        <w:t>k</w:t>
      </w:r>
      <w:r w:rsidRPr="00430123">
        <w:rPr>
          <w:vertAlign w:val="subscript"/>
        </w:rPr>
        <w:t>ORR</w:t>
      </w:r>
      <w:r w:rsidRPr="00430123">
        <w:t>δ</w:t>
      </w:r>
      <w:proofErr w:type="spellEnd"/>
      <w:r w:rsidRPr="00430123">
        <w:t>/D</w:t>
      </w:r>
      <w:r w:rsidRPr="00430123">
        <w:rPr>
          <w:vertAlign w:val="subscript"/>
        </w:rPr>
        <w:t>O</w:t>
      </w:r>
      <w:proofErr w:type="gramStart"/>
      <w:r w:rsidRPr="00430123">
        <w:rPr>
          <w:vertAlign w:val="subscript"/>
        </w:rPr>
        <w:t>2,eff</w:t>
      </w:r>
      <w:proofErr w:type="gramEnd"/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0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>Table S1. Limiting regimes of the 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gramStart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</w:t>
            </w:r>
            <w:proofErr w:type="gram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</w:t>
            </w:r>
            <w:proofErr w:type="spellStart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37823BBE" w14:textId="77777777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proofErr w:type="gramStart"/>
      <w:r w:rsidRPr="00430123">
        <w:t>Medit</w:t>
      </w:r>
      <w:proofErr w:type="spellEnd"/>
      <w:r w:rsidRPr="00430123">
        <w:t xml:space="preserve"> (.</w:t>
      </w:r>
      <w:proofErr w:type="gramEnd"/>
      <w:r w:rsidRPr="00430123">
        <w:t xml:space="preserve">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>Table S2 and Figure S1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del w:id="20001" w:author="Claude" w:date="2026-10-09T22:52:19Z">
        <w:r w:rsidRPr="007E2F54">
          <w:rPr>
            <w:b/>
            <w:bCs/>
            <w:sz w:val="20"/>
            <w:szCs w:val="20"/>
          </w:rPr>
          <w:delText xml:space="preserve">Table S2. </w:delText>
        </w:r>
      </w:del>
      <w:ins w:id="20002" w:author="Claude" w:date="2026-10-09T22:52:19Z">
        <w:r w:rsidRPr="007E2F54">
          <w:rPr>
            <w:b/>
            <w:bCs/>
            <w:sz w:val="20"/>
            <w:szCs w:val="20"/>
          </w:rPr>
          <w:t xml:space="preserve">Table S</w:t>
        </w:r>
        <w:r w:rsidRPr="007E2F54">
          <w:rPr>
            <w:b/>
            <w:bCs/>
            <w:sz w:val="20"/>
            <w:szCs w:val="20"/>
          </w:rPr>
          <w:fldChar w:fldCharType="begin"/>
        </w:r>
        <w:r w:rsidRPr="007E2F54">
          <w:rPr>
            <w:b/>
            <w:bCs/>
            <w:sz w:val="20"/>
            <w:szCs w:val="20"/>
          </w:rPr>
          <w:instrText xml:space="preserve"> SEQ Table \* ARABIC </w:instrText>
        </w:r>
        <w:r w:rsidRPr="007E2F54">
          <w:rPr>
            <w:b/>
            <w:bCs/>
            <w:sz w:val="20"/>
            <w:szCs w:val="20"/>
          </w:rPr>
          <w:fldChar w:fldCharType="separate"/>
        </w:r>
        <w:r w:rsidRPr="007E2F54">
          <w:rPr>
            <w:b/>
            <w:bCs/>
            <w:sz w:val="20"/>
            <w:szCs w:val="20"/>
          </w:rPr>
          <w:t xml:space="preserve">2</w:t>
        </w:r>
        <w:r w:rsidRPr="007E2F54">
          <w:rPr>
            <w:b/>
            <w:bCs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 xml:space="preserve">. </w:t>
        </w:r>
      </w:ins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del w:id="20003" w:author="Claude" w:date="2026-10-09T22:52:19Z">
        <w:r w:rsidRPr="007E2F54">
          <w:rPr>
            <w:b/>
            <w:bCs/>
            <w:sz w:val="20"/>
            <w:szCs w:val="20"/>
          </w:rPr>
          <w:delText xml:space="preserve">Table S3. </w:delText>
        </w:r>
      </w:del>
      <w:ins w:id="20004" w:author="Claude" w:date="2026-10-09T22:52:19Z">
        <w:r w:rsidRPr="007E2F54">
          <w:rPr>
            <w:b/>
            <w:bCs/>
            <w:sz w:val="20"/>
            <w:szCs w:val="20"/>
          </w:rPr>
          <w:t xml:space="preserve">Table S</w:t>
        </w:r>
        <w:r w:rsidRPr="007E2F54">
          <w:rPr>
            <w:b/>
            <w:bCs/>
            <w:sz w:val="20"/>
            <w:szCs w:val="20"/>
          </w:rPr>
          <w:fldChar w:fldCharType="begin"/>
        </w:r>
        <w:r w:rsidRPr="007E2F54">
          <w:rPr>
            <w:b/>
            <w:bCs/>
            <w:sz w:val="20"/>
            <w:szCs w:val="20"/>
          </w:rPr>
          <w:instrText xml:space="preserve"> SEQ Table \* ARABIC </w:instrText>
        </w:r>
        <w:r w:rsidRPr="007E2F54">
          <w:rPr>
            <w:b/>
            <w:bCs/>
            <w:sz w:val="20"/>
            <w:szCs w:val="20"/>
          </w:rPr>
          <w:fldChar w:fldCharType="separate"/>
        </w:r>
        <w:r w:rsidRPr="007E2F54">
          <w:rPr>
            <w:b/>
            <w:bCs/>
            <w:sz w:val="20"/>
            <w:szCs w:val="20"/>
          </w:rPr>
          <w:t xml:space="preserve">3</w:t>
        </w:r>
        <w:r w:rsidRPr="007E2F54">
          <w:rPr>
            <w:b/>
            <w:bCs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 xml:space="preserve">. </w:t>
        </w:r>
      </w:ins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67E452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fldChar w:fldCharType="begin"/>
      </w:r>
      <w:r w:rsidR="00EC20EE">
        <w:rPr>
          <w:b/>
          <w:bCs/>
          <w:sz w:val="20"/>
          <w:szCs w:val="20"/>
        </w:rPr>
        <w:instrText xml:space="preserve"> SEQ Figure \* ARABIC </w:instrText>
      </w:r>
      <w:r w:rsidR="00EC20EE">
        <w:rPr>
          <w:b/>
          <w:bCs/>
          <w:sz w:val="20"/>
          <w:szCs w:val="20"/>
        </w:rPr>
        <w:fldChar w:fldCharType="separate"/>
      </w:r>
      <w:r w:rsidR="00EC20EE">
        <w:rPr>
          <w:b/>
          <w:bCs/>
          <w:sz w:val="20"/>
          <w:szCs w:val="20"/>
        </w:rPr>
        <w:t>1</w:t>
      </w:r>
      <w:r w:rsidR="00EC20EE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</w:t>
      </w:r>
      <w:proofErr w:type="gramStart"/>
      <w:r>
        <w:t>the disc</w:t>
      </w:r>
      <w:proofErr w:type="gramEnd"/>
      <w:r>
        <w:t xml:space="preserve">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1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 xml:space="preserve">Time-dependent </w:t>
      </w:r>
      <w:proofErr w:type="gramStart"/>
      <w:r w:rsidRPr="009D3074">
        <w:rPr>
          <w:sz w:val="20"/>
          <w:szCs w:val="20"/>
        </w:rPr>
        <w:t>Morris</w:t>
      </w:r>
      <w:proofErr w:type="gramEnd"/>
      <w:r w:rsidRPr="009D3074">
        <w:rPr>
          <w:sz w:val="20"/>
          <w:szCs w:val="20"/>
        </w:rPr>
        <w:t xml:space="preserve">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297609BB" w:rsidR="005D7A85" w:rsidRDefault="005F4719" w:rsidP="00BE6B79">
      <w:pPr>
        <w:pStyle w:val="Heading1"/>
      </w:pPr>
      <w:r>
        <w:t xml:space="preserve">S5. </w:t>
      </w:r>
      <w:r>
        <w:t xml:space="preserve">Calibration by Bayesian optimization </w:t>
      </w:r>
      <w:r>
        <w:t>and validation</w:t>
      </w:r>
    </w:p>
    <w:p w14:paraId="64C1FDF0" w14:textId="287A2B3F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</w:t>
      </w:r>
      <w:r w:rsidRPr="00DA0507">
        <w:t xml:space="preserve"> by Bayesian optimization of a deterministic RMSE objective, </w:t>
      </w:r>
      <w:r w:rsidRPr="00DA0507">
        <w:t>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2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7265F0D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exp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are the simulated and literature mass loss at time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respectively.</w:t>
      </w:r>
    </w:p>
    <w:p w14:paraId="60E5328F" w14:textId="71D9CC80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3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4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4B8748AE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</w:t>
      </w:r>
      <w:r w:rsidR="003E77C2" w:rsidRPr="003E77C2">
        <w:rPr>
          <w:sz w:val="20"/>
          <w:szCs w:val="20"/>
        </w:rPr>
        <w:t>optimization</w:t>
      </w:r>
      <w:r w:rsidR="003E77C2" w:rsidRPr="003E77C2">
        <w:rPr>
          <w:sz w:val="20"/>
          <w:szCs w:val="20"/>
        </w:rPr>
        <w:t xml:space="preserve"> results: (a) simulated and literature mass loss, (b) normalized log10 parameter trajectories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1A8FD6FC" w:rsidR="00644320" w:rsidRDefault="00644320" w:rsidP="00644320">
      <w:pPr>
        <w:pStyle w:val="BodyText"/>
        <w:spacing w:after="120"/>
        <w:ind w:firstLine="0"/>
      </w:pPr>
      <w:r>
        <w:t>The coarse-mesh (L2) calibration simulations are related to the fine-mesh (L6) result by a single proportionality factor over 672 h, L2 = 1.355846 × L6 (r = 0.9986; Figure S5).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096BBF22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5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</w:t>
      </w:r>
      <w:proofErr w:type="gramStart"/>
      <w:r>
        <w:rPr>
          <w:sz w:val="20"/>
          <w:szCs w:val="20"/>
        </w:rPr>
        <w:t>coarse</w:t>
      </w:r>
      <w:proofErr w:type="gramEnd"/>
      <w:r>
        <w:rPr>
          <w:sz w:val="20"/>
          <w:szCs w:val="20"/>
        </w:rPr>
        <w:t xml:space="preserve">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gramStart"/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</w:t>
            </w:r>
            <w:proofErr w:type="gramEnd"/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2B7DDBA5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</w:t>
      </w:r>
      <w:r w:rsidRPr="00F164F0">
        <w:t>optimization</w:t>
      </w:r>
      <w:r w:rsidRPr="00F164F0">
        <w:t xml:space="preserve"> objective rather than a </w:t>
      </w:r>
      <w:r w:rsidRPr="00F164F0">
        <w:t>likelihood-based</w:t>
      </w:r>
      <w:r w:rsidRPr="00F164F0">
        <w:t xml:space="preserve"> parameter </w:t>
      </w:r>
      <w:r w:rsidRPr="00F164F0">
        <w:t>inference</w:t>
      </w:r>
      <w:r w:rsidRPr="00F164F0">
        <w:t>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47F622D4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 xml:space="preserve"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</w:t>
      </w:r>
      <w:r w:rsidRPr="00F164F0">
        <w:rPr>
          <w:sz w:val="20"/>
          <w:szCs w:val="20"/>
        </w:rPr>
        <w:t>do</w:t>
      </w:r>
      <w:r w:rsidRPr="00F164F0">
        <w:rPr>
          <w:sz w:val="20"/>
          <w:szCs w:val="20"/>
        </w:rPr>
        <w:t xml:space="preserve"> not </w:t>
      </w:r>
      <w:r w:rsidRPr="00F164F0">
        <w:rPr>
          <w:sz w:val="20"/>
          <w:szCs w:val="20"/>
        </w:rPr>
        <w:t xml:space="preserve">include measurement, model-form </w:t>
      </w:r>
      <w:r w:rsidRPr="00F164F0">
        <w:rPr>
          <w:sz w:val="20"/>
          <w:szCs w:val="20"/>
        </w:rPr>
        <w:t xml:space="preserve">or </w:t>
      </w:r>
      <w:r w:rsidRPr="00F164F0">
        <w:rPr>
          <w:sz w:val="20"/>
          <w:szCs w:val="20"/>
        </w:rPr>
        <w:t>numerical uncertainty</w:t>
      </w:r>
      <w:r w:rsidRPr="00F164F0">
        <w:rPr>
          <w:sz w:val="20"/>
          <w:szCs w:val="20"/>
        </w:rPr>
        <w:t>.</w:t>
      </w:r>
    </w:p>
    <w:p w14:paraId="04BC8270" w14:textId="2AFFA191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</w:t>
      </w:r>
      <w:proofErr w:type="gramStart"/>
      <w:r w:rsidRPr="002A0AFD">
        <w:rPr>
          <w:sz w:val="20"/>
          <w:szCs w:val="20"/>
        </w:rPr>
        <w:t xml:space="preserve">same </w:t>
      </w:r>
      <w:r w:rsidR="00341DFC">
        <w:rPr>
          <w:sz w:val="20"/>
          <w:szCs w:val="20"/>
        </w:rPr>
        <w:t>i</w:t>
      </w:r>
      <w:r w:rsidRPr="002A0AFD">
        <w:rPr>
          <w:sz w:val="20"/>
          <w:szCs w:val="20"/>
        </w:rPr>
        <w:t>mmersion</w:t>
      </w:r>
      <w:proofErr w:type="gramEnd"/>
      <w:r w:rsidRPr="002A0AFD">
        <w:rPr>
          <w:sz w:val="20"/>
          <w:szCs w:val="20"/>
        </w:rPr>
        <w:t xml:space="preserve">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316C26F5" w14:textId="77777777" w:rsidR="00341DFC" w:rsidRDefault="00341DFC" w:rsidP="00341DFC">
      <w:pPr>
        <w:pStyle w:val="BodyText"/>
      </w:pPr>
    </w:p>
    <w:p w14:paraId="7E9636DC" w14:textId="2BE5FEC9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128C6D8B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 xml:space="preserve">Geometric and computational parameters of the controlled test structures used in </w:t>
      </w:r>
      <w:ins w:id="9011" w:author="Claude" w:date="2026-10-09T22:52:19Z">
        <w:r w:rsidRPr="00065991">
          <w:rPr>
            <w:sz w:val="20"/>
            <w:szCs w:val="20"/>
          </w:rPr>
          <w:t xml:space="preserve">main-text </w:t>
        </w:r>
      </w:ins>
      <w:r w:rsidRPr="00065991">
        <w:rPr>
          <w:sz w:val="20"/>
          <w:szCs w:val="20"/>
        </w:rPr>
        <w:t xml:space="preserve">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6B02AA2C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52E7371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</w:t>
      </w:r>
      <w:proofErr w:type="gramStart"/>
      <w:r w:rsidRPr="00552E50">
        <w:rPr>
          <w:sz w:val="20"/>
          <w:szCs w:val="20"/>
        </w:rPr>
        <w:t>showing</w:t>
      </w:r>
      <w:proofErr w:type="gramEnd"/>
      <w:r w:rsidRPr="00552E50">
        <w:rPr>
          <w:sz w:val="20"/>
          <w:szCs w:val="20"/>
        </w:rPr>
        <w:t xml:space="preserve">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faces, (b) mass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Dobrzynski,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Balay,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Fagg,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>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Schönberger,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Schlömer,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</w:t>
      </w:r>
      <w:proofErr w:type="gramStart"/>
      <w:r>
        <w:rPr>
          <w:sz w:val="20"/>
        </w:rPr>
        <w:t>Open Source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Schonlau,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2B0FB" w14:textId="77777777" w:rsidR="00781A27" w:rsidRDefault="00781A27">
      <w:pPr>
        <w:spacing w:line="240" w:lineRule="auto"/>
      </w:pPr>
      <w:r>
        <w:separator/>
      </w:r>
    </w:p>
  </w:endnote>
  <w:endnote w:type="continuationSeparator" w:id="0">
    <w:p w14:paraId="55DE40DB" w14:textId="77777777" w:rsidR="00781A27" w:rsidRDefault="00781A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63C5F" w14:textId="77777777" w:rsidR="00781A27" w:rsidRDefault="00781A27">
      <w:pPr>
        <w:spacing w:line="240" w:lineRule="auto"/>
      </w:pPr>
      <w:r>
        <w:separator/>
      </w:r>
    </w:p>
  </w:footnote>
  <w:footnote w:type="continuationSeparator" w:id="0">
    <w:p w14:paraId="4D446832" w14:textId="77777777" w:rsidR="00781A27" w:rsidRDefault="00781A2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E43B8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5113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41DFC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36D30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6F2529"/>
    <w:rsid w:val="007125DF"/>
    <w:rsid w:val="007163D0"/>
    <w:rsid w:val="00743306"/>
    <w:rsid w:val="00762CF8"/>
    <w:rsid w:val="007630D0"/>
    <w:rsid w:val="00770A7E"/>
    <w:rsid w:val="00772BA4"/>
    <w:rsid w:val="00781A27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8A620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3199</TotalTime>
  <Pages>17</Pages>
  <Words>3000</Words>
  <Characters>17100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135</cp:revision>
  <cp:lastPrinted>2026-09-27T22:37:00Z</cp:lastPrinted>
  <dcterms:created xsi:type="dcterms:W3CDTF">2026-09-27T22:41:00Z</dcterms:created>
  <dcterms:modified xsi:type="dcterms:W3CDTF">2026-10-09T22:47:00Z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