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The sensitivity analysis (Fig. 3a) and the optimization (Fig. 3b; parameter trajectories in Supplementary Fig. 6b) already characterize the parameter behavior, so a separate profile likelihood or posterior is not needed. Among the 25 evaluations within 1.5× the best RMSE (both repeats), k_ORR is tightly constrained (0.15–0.19), whereas k_f (2.2–96) and k_d (0.6–93) span more than one decade each. The Spearman rank correlations (log10 values) are weak between k_f and k_d (0.11) and moderate between k_d and k_ORR (−0.50), so k_f and k_d are unconstrained rather than degenerate through their ratio. Only k_ORR is therefore reported as identified; k_f and k_d are treated as effective parameters whose individual values are not interpreted. The predictions are insensitive to this, because all near-optimal points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targeted the parameters that are uncertain and enter the calibration (kinetic constants, O₂ concentration and diffusivities; ranges in Table S5). ε and τ were fixed because they are not readily available from the literature or experiments, so literature-based estimates were used. F_max was not an independent parameter: it was calculated from the Langmuir saturation formulation given in the manuscript (F_max = ρ_film(1 − ε)). [Zn]_sat was taken from the literature, with the reference listed in the manuscript. The role of the corrosion-product mechanism was assessed separately: removing corrosion-product formation entirely raises the 672 h mass loss from 0.33% to 0.74% (A2.2), and the k_f and k_d sweeps (Fig. 4) show its effect on mass loss, saturation and interfacial O₂. Because ε and τ are fixed estimates, the absolute corrosion-product transport resistance is uncertain, which is stated in the Limitations.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modelling premise (Eqs. 1–2), built on experimentally observed oxygen control of Zn degradation, so the Morris ranking alone does not show that oxygen controls degradation; it only shows how the model responds to O₂. The test that the model captures this behaviour is therefore not the sensitivity ranking but its agreement with data not used in calibration: the 28-day immersion data (RMSE = 0.0159%) and the stent prediction (about 6%). These results show that the oxygen-controlled formulation reproduces the measured mass loss. The model also allows a reaction-limited stage (v_n is the limiting of three velocities), so oxygen control is not forced at all times. This supports the assumption within the tested conditions but does not prove oxygen control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 The near-linear dependence of mass loss on SA:V is expected and is reported in the literature, so a similar or higher SA:V-scaled value is not evidence against the model. The model's added value is that transport control reduces the overall stent mass loss only moderately relative to this scaling (6.0% vs 12.8%) but changes where material is lost strongly: recession is concentrated on the oxygen-accessible outer surface and suppressed in the confined regions (Figs. 7–8), which SA:V scaling cannot capture.</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