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ORR ceilings for k_ORR = 0.04, 0.2 and 1 are 0.06, 0.30 and 1.5%,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In progress</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In progress</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In progress</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color w:val="808080"/>
                <w:sz w:val="20"/>
              </w:rPr>
              <w:t>[To be completed]</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color w:val="000000"/>
                <w:sz w:val="20"/>
              </w:rPr>
              <w:lastRenderedPageBreak/>
              <w:t xml:space="preserve">The in vivo timescale cannot justify a </w:t>
            </w:r>
            <w:proofErr w:type="spellStart"/>
            <w:r w:rsidRPr="00991BBA">
              <w:rPr>
                <w:color w:val="000000"/>
                <w:sz w:val="20"/>
              </w:rPr>
              <w:t>ZnO</w:t>
            </w:r>
            <w:proofErr w:type="spellEnd"/>
            <w:r w:rsidRPr="00991BBA">
              <w:rPr>
                <w:color w:val="000000"/>
                <w:sz w:val="20"/>
              </w:rPr>
              <w:t xml:space="preserve">-only representation for the in vitro simulations, as additional corrosion products form within hours to days. The in vivo justification has therefore been removed, and </w:t>
            </w:r>
            <w:r w:rsidRPr="00991BBA">
              <w:rPr>
                <w:color w:val="000000"/>
                <w:sz w:val="20"/>
              </w:rPr>
              <w:lastRenderedPageBreak/>
              <w:t xml:space="preserve">the model is now described as a homogenized </w:t>
            </w:r>
            <w:proofErr w:type="spellStart"/>
            <w:r w:rsidRPr="00991BBA">
              <w:rPr>
                <w:color w:val="000000"/>
                <w:sz w:val="20"/>
              </w:rPr>
              <w:t>ZnO</w:t>
            </w:r>
            <w:proofErr w:type="spellEnd"/>
            <w:r w:rsidRPr="00991BBA">
              <w:rPr>
                <w:color w:val="000000"/>
                <w:sz w:val="20"/>
              </w:rPr>
              <w:t>-based representation that does not explicitly resolve phosphate-, carbonate-, calcium-, or chloride-containing phases.</w:t>
            </w:r>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The calibration data (Liu et al.) were measured in r-SBF and the validation data in Ca/Mg-free HBSS. r-SBF has more complex chemistry (extra ions, Tris buffer, more precipitation), whereas HBSS is simpler and closer to the single effective ZnO phase assumed by the model, which explains the lower validation RMSE (0.0159% vs 0.042%). The validation error is also small relative to the experimental scatter (SD = 0.115% at 28 days, n = 3), so the two RMSE values are not directly comparable.</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In progress</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late-time increase is only weakly constrained; the curve is well resolved up to about 7 days. [Revise the Results to state that the later increase lies within the experimental scatter, or add replicates.]</w:t>
            </w:r>
          </w:p>
        </w:tc>
        <w:tc>
          <w:tcPr>
            <w:tcW w:w="1587" w:type="dxa"/>
          </w:tcPr>
          <w:p w14:paraId="0ACDE2AA" w14:textId="77777777" w:rsidR="00660073" w:rsidRDefault="00000000">
            <w:r>
              <w:rPr>
                <w:sz w:val="20"/>
              </w:rPr>
              <w:t>In progress</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In progress</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[Add parameter correlations and profile or bootstrap intervals once BO is re-run; k_ORR is expected to be well constrained and k_f and k_d only through their ratio.]</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 [Reconcile the stent corrosion rate (0.0596 mm yr⁻¹) with the 6% mass loss, which implies about 0.015 mm yr⁻¹.]</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in the manuscript are being corrected. [Update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In progress</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[Give the rationale or reference for the second-order dependence.]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In progress</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In progress</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In progress</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0.8-million-element mesh (about 2 h per run), mapped to the fine mesh with 0.004% error. An axisymmetric model would be cheaper for calibration, but the 3D formulation was kept so that calibration and the stent prediction use the same model. [Delete this note if no axisymmetric check is run.]</w:t>
            </w:r>
          </w:p>
        </w:tc>
        <w:tc>
          <w:tcPr>
            <w:tcW w:w="1587" w:type="dxa"/>
          </w:tcPr>
          <w:p w14:paraId="2243CAB6" w14:textId="77777777" w:rsidR="003F785C" w:rsidRDefault="00E9439A">
            <w:r>
              <w:rPr>
                <w:color w:val="000000"/>
                <w:sz w:val="20"/>
              </w:rPr>
              <w:t>In progress</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color w:val="808080"/>
                <w:sz w:val="20"/>
              </w:rPr>
              <w:t>[To be completed]</w:t>
            </w:r>
          </w:p>
        </w:tc>
        <w:tc>
          <w:tcPr>
            <w:tcW w:w="1587" w:type="dxa"/>
          </w:tcPr>
          <w:p w14:paraId="6E11FE36" w14:textId="77777777" w:rsidR="003F785C" w:rsidRDefault="00E9439A">
            <w:r>
              <w:rPr>
                <w:sz w:val="20"/>
              </w:rPr>
              <w:t>Open</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not the optimised values, giving 0.39% at 168 h against about 0.19% in Fig. 5a. Fig. 4 has been recomputed around the baseline values, varying each parameter by ×0.2 and ×5; the baseline now gives 0.20% at 168 h, matching Fig. 5a. [Confirm that the baseline equals the calibrated values in Table 2.]</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13.2× ratio compares 3.72 µm (outer) with 0.28 µm (inner), a depth below the interface mesh size, so the ratio is poorly constrained. The absolute difference (3.4 µm) is reported alongside it. The stent crown (Fig. 7d) gives 8.55 and 4.76 µm (1.8×, a 3.8 µm difference); the isolated 150° arc (radius 0.63 mm) confines its inner side more strongly. [Confirm the depths are taken at the arc apex and add the absolute differences to the Results.]</w:t>
            </w:r>
            <w:proofErr w:type="gramStart"/>
            <w:proofErr w:type="gramEnd"/>
          </w:p>
        </w:tc>
        <w:tc>
          <w:tcPr>
            <w:tcW w:w="1587" w:type="dxa"/>
          </w:tcPr>
          <w:p w14:paraId="00430183" w14:textId="77777777" w:rsidR="003F785C" w:rsidRDefault="00E9439A">
            <w:r>
              <w:rPr>
                <w:color w:val="000000"/>
                <w:sz w:val="20"/>
              </w:rPr>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