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lastRenderedPageBreak/>
        <w:t>as a computationally tractable basis for predictive Zn biodegradation modeling, subject to independent validation.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Figure 6</w:t>
      </w:r>
      <w:r w:rsidR="004E40FB" w:rsidRPr="001A2EB4">
        <w:rPr>
          <w:b/>
          <w:bCs/>
          <w:lang w:val="en-US"/>
        </w:rPr>
        <w:fldChar w:fldCharType="end"/>
      </w:r>
      <w:r w:rsidRPr="001A2EB4">
        <w:rPr>
          <w:lang w:val="en-US"/>
        </w:rPr>
        <w:t xml:space="preserve">b; Section S3).</w:t>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[54]</w:t>
      </w:r>
      <w:r w:rsidR="00435C38" w:rsidRPr="001A2EB4">
        <w:rPr>
          <w:rFonts w:cs="Times New Roman"/>
          <w:lang w:val="en-US"/>
        </w:rPr>
        <w:fldChar w:fldCharType="end"/>
      </w:r>
      <w:r w:rsidR="00435C38" w:rsidRPr="001A2EB4">
        <w:rPr>
          <w:lang w:val="en-US"/>
        </w:rPr>
        <w:t xml:space="preserve"> (Section S1).</w:t>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