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The Supplementary Information reports the RMSE definition and the absolute errors for the calibration (Table S9), but no normalized error and no comparison with the experimental scatter for the validation. We will add a validation table to the Supplementary Information (Table S[x]) giving, for each immersion time, the experimental mean ± SD (n = 3), the simulated value, the error and the error/SD ratio, and we will report the normalized error in the Results. For the validation, RMSE = 0.0159% corresponds to 8.5% of the mean measured mass loss (5.0% of the 28-day value), all five simulated points lie within 0.35 SD of the experimental means, and the 28-day SD is 0.115% (n = 3). For the calibration, the RMSE of 0.042% corresponds to about 24% of the mean literature value (13% of the 14-day value). We acknowledge that the fit is therefore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We now report the normalized error (for Zn²⁺, RMSE = 11.6 mg L⁻¹, 39% of the mean literature value; for pH, RMSE = 0.10 pH units) and the signed error at each time, and state that the model captures the trend and the order of magnitude but over-predicts Zn²⁺ by about 44% and pH by 0.21 at 336 h. We attribute the over-prediction to precipitation and buffering in the r-SBF medium (phosphate, carbonate, Tris), which the model does not include [and to the solution volume per unit area, to be confirmed]. The comparison is therefore presented as an out-of-objective consistency check, not as a validation.</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