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pH 7.4)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The reaction term was applied exclusively at the moving Zn–electrolyte interface, such that oxygen must diffuse to the Zn surface before being consumed. The interface term δ_Γ is a sharp surface integral over the zero level set (FreeFEM int2d with the levelset option), with no smoothing parameter; a smoothed delta function with a width equal to the minimum mesh size is used only in post-processing averages.</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is treated as effectively non-consumed, because it is in large excess (142.3 mmol L⁻¹) and is not appreciably depleted by corrosion-product dissolution </w:t>
      </w:r>
      <w:r w:rsidRPr="001A2EB4">
        <w:rPr>
          <w:rFonts w:cs="Times New Roman"/>
        </w:rPr>
      </w:r>
      <w:r w:rsidRPr="001A2EB4">
        <w:rPr>
          <w:rFonts w:cs="Times New Roman"/>
        </w:rPr>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The chloride exponent in Eq. 11 is an effective reaction order, not the stoichiometric one of Eq. 5.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t xml:space="preserve"> (in g mm⁻³)</w:t>
      </w:r>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Calibration used 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 were searched log-uniformly within k_f ∈ [1, 100] h⁻¹, k_d ∈ [1, 100] L² mol⁻² h⁻¹ (down to 0.1 in the local phase) and k_ORR ∈ [0.05, 5] mm h⁻¹. Each repeat used 28 evaluations in three phases: a 12-point Latin hypercube; 8 points chosen by expected improvement on a Gaussian-process surrogate (Matérn ν = 2.5); and 8 further local points chosen on the same mass-loss objective. Two independent repeats were run from different initial designs. The objective was the RMSE between simulated and target mass loss at 24, 48, 120, 168, 240 and 336 h.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xml:space="preserve">. Each parameter was varied </w:t>
      </w:r>
      <w:del w:id="9004" w:author="Claude" w:date="2026-10-08T13:45:27Z">
        <w:r>
          <w:delText xml:space="preserve">by factors of 0.2</w:delText>
        </w:r>
      </w:del>
      <w:ins w:id="9003" w:author="Claude" w:date="2026-10-08T13:45:27Z">
        <w:r w:rsidRPr="001A2EB4">
          <w:t xml:space="preserve">above</w:t>
        </w:r>
      </w:ins>
      <w:r w:rsidRPr="001A2EB4">
        <w:t xml:space="preserve"> and </w:t>
      </w:r>
      <w:del w:id="9002" w:author="Claude" w:date="2026-10-08T13:45:27Z">
        <w:r>
          <w:delText xml:space="preserve">5 around</w:delText>
        </w:r>
      </w:del>
      <w:ins w:id="9001" w:author="Claude" w:date="2026-10-08T13:45:27Z">
        <w:r w:rsidRPr="001A2EB4">
          <w:t xml:space="preserve">below</w:t>
        </w:r>
      </w:ins>
      <w:r w:rsidRPr="001A2EB4">
        <w:t xml:space="preserve">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Two independent repeats of the optimization reached minimum RMSE values of 0.0173% and 0.0178%</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The best points were found at iterations 25 and 20, in the local and expected-improvement phases, respectively. The calibrated k_ORR was consistent between repeats (0.15–0.19 mm h⁻¹ among all 25 fits with RMSE ≤ 0.025%), whereas k_f and k_d were not individually identifiable: fits of equal quality spanned k_f = 2.2–96 h⁻¹ and k_d = 0.6–93 L² mol⁻² h⁻¹. The adopted values</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was adopted.</w:t>
      </w:r>
      <w:r w:rsidR="00215165" w:rsidRPr="001A2EB4"/>
      <w:r w:rsidR="00B31A12" w:rsidRPr="001A2EB4">
        <w:t xml:space="preserve"> These results show that the proposed framework can closely reproduce the calibration measurements. The low calibration error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5436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543694"/>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 model for repeat 1 (28 evaluations; the second repeat is in the SI). The shaded region is the initial Latin-hypercube sampling, the line is the best RMSE so far, and the star marks the optimum (iteration 25). RMSE is the mass-loss error of the corrected coarse-mesh simulation against the 0–336 h target</w:t>
      </w:r>
      <w:r w:rsidRPr="001A2EB4">
        <w:t>.</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2.75</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w:r>
              <w:t>L² mol⁻² h⁻¹</w:t>
            </w:r>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1</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5.19</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0.161</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r w:rsidR="00492114">
        <w:t xml:space="preserve">. The film field is defined on the fixed mesh on the electrolyte side of the moving interface rather than attached to it, and the ZnO/Zn volume ratio (about 1.6) is not represented.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 Independent measurements of Zn²⁺ release by ICP and direct mechanism tests, such as film thickness from FIB or SEM cross-sections or stirred and different-O₂ experiments, were not performed and are also needed.</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