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00B72505" w:rsidRPr="001A2EB4">
        <w:rPr>
          <w:b/>
          <w:bCs/>
          <w:lang w:val="en-US"/>
        </w:rPr>
        <w:t>Table S</w:t>
      </w:r>
      <w:r w:rsidR="008A0899" w:rsidRPr="001A2EB4">
        <w:rPr>
          <w:b/>
          <w:bCs/>
          <w:lang w:val="en-US"/>
        </w:rPr>
        <w:t>2</w:t>
      </w:r>
      <w:r w:rsidRPr="001A2EB4">
        <w:rPr>
          <w:lang w:val="en-US"/>
        </w:rPr>
        <w:t>).</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Table S</w:t>
      </w:r>
      <w:r w:rsidR="00B30658" w:rsidRPr="001A2EB4">
        <w:rPr>
          <w:b/>
          <w:bCs/>
          <w:lang w:val="en-US"/>
        </w:rPr>
        <w:t>4</w:t>
      </w:r>
      <w:r w:rsidR="002B2A3C" w:rsidRPr="001A2EB4">
        <w:rPr>
          <w:lang w:val="en-US"/>
        </w:rPr>
        <w:t xml:space="preserve"> </w:t>
      </w:r>
      <w:r w:rsidR="0004311D" w:rsidRPr="001A2EB4">
        <w:rPr>
          <w:lang w:val="en-US"/>
        </w:rPr>
        <w:t>lists the computational parameters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w:t>
      </w:r>
      <w:r w:rsidR="00B30658" w:rsidRPr="001A2EB4">
        <w:rPr>
          <w:lang w:val="en-US"/>
        </w:rPr>
        <w:t xml:space="preserve"> (</w:t>
      </w:r>
      <w:r w:rsidR="00B30658" w:rsidRPr="001A2EB4">
        <w:rPr>
          <w:b/>
          <w:bCs/>
          <w:lang w:val="en-US"/>
        </w:rPr>
        <w:t>Table S5</w:t>
      </w:r>
      <w:r w:rsidR="00B30658" w:rsidRPr="001A2EB4">
        <w:rPr>
          <w:lang w:val="en-US"/>
        </w:rPr>
        <w:t>)</w:t>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[54]</w:t>
      </w:r>
      <w:r w:rsidR="00435C38" w:rsidRPr="001A2EB4">
        <w:rPr>
          <w:rFonts w:cs="Times New Roman"/>
          <w:lang w:val="en-US"/>
        </w:rPr>
        <w:fldChar w:fldCharType="end"/>
      </w:r>
      <w:r w:rsidR="00A56051" w:rsidRPr="001A2EB4">
        <w:rPr>
          <w:rFonts w:cs="Times New Roman"/>
          <w:lang w:val="en-US"/>
        </w:rPr>
        <w:t xml:space="preserve"> (</w:t>
      </w:r>
      <w:r w:rsidR="00A56051" w:rsidRPr="001A2EB4">
        <w:rPr>
          <w:rFonts w:cs="Times New Roman"/>
          <w:b/>
          <w:bCs/>
          <w:lang w:val="en-US"/>
        </w:rPr>
        <w:t>Table S</w:t>
      </w:r>
      <w:r w:rsidR="00B30658" w:rsidRPr="001A2EB4">
        <w:rPr>
          <w:rFonts w:cs="Times New Roman"/>
          <w:b/>
          <w:bCs/>
          <w:lang w:val="en-US"/>
        </w:rPr>
        <w:t>7</w:t>
      </w:r>
      <w:r w:rsidR="00A56051" w:rsidRPr="001A2EB4">
        <w:rPr>
          <w:rFonts w:cs="Times New Roman"/>
          <w:lang w:val="en-US"/>
        </w:rPr>
        <w:t>)</w:t>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w:t>
      </w:r>
      <w:r w:rsidR="002A379F" w:rsidRPr="001A2EB4">
        <w:rPr>
          <w:rFonts w:cs="Times New Roman"/>
          <w:b/>
          <w:bCs/>
          <w:lang w:val="en-US"/>
        </w:rPr>
        <w:t>Table S</w:t>
      </w:r>
      <w:r w:rsidR="00CF36DC" w:rsidRPr="001A2EB4">
        <w:rPr>
          <w:rFonts w:cs="Times New Roman"/>
          <w:b/>
          <w:bCs/>
          <w:lang w:val="en-US"/>
        </w:rPr>
        <w:t>8</w:t>
      </w:r>
      <w:r w:rsidR="002A379F" w:rsidRPr="001A2EB4">
        <w:rPr>
          <w:rFonts w:cs="Times New Roman"/>
          <w:lang w:val="en-US"/>
        </w:rPr>
        <w:t>)</w:t>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indicating a very strong correlation between the two variables (</w:t>
      </w:r>
      <w:r w:rsidR="00CF36DC" w:rsidRPr="001A2EB4">
        <w:rPr>
          <w:b/>
          <w:bCs/>
          <w:lang w:val="en-US"/>
        </w:rPr>
        <w:t>Figure S9</w:t>
      </w:r>
      <w:r w:rsidR="00CF36DC" w:rsidRPr="001A2EB4">
        <w:rPr>
          <w:lang w:val="en-US"/>
        </w:rPr>
        <w:t>).</w:t>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w:t>
      </w:r>
      <w:r w:rsidR="004E40FB" w:rsidRPr="001A2EB4">
        <w:rPr>
          <w:lang w:val="en-US"/>
        </w:rPr>
        <w:t xml:space="preserve"> (</w:t>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Figure 7</w:t>
      </w:r>
      <w:r w:rsidR="004E40FB" w:rsidRPr="001A2EB4">
        <w:rPr>
          <w:b/>
          <w:bCs/>
          <w:lang w:val="en-US"/>
        </w:rPr>
        <w:fldChar w:fldCharType="end"/>
      </w:r>
      <w:r w:rsidR="004E40FB" w:rsidRPr="001A2EB4">
        <w:rPr>
          <w:b/>
          <w:bCs/>
          <w:lang w:val="en-US"/>
        </w:rPr>
        <w:t>b)</w:t>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Following the stent-scale analysis, the role of individual geometric features was further isolated using simplified wire configurations.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and the geometric and field data stored at each time step provide a strong basis for training surrogate models.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