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size is 5 µm (minimum element size 0.005 mm, Table S4), comparable to the 3–8 µm local recession (about one element). This does not make the results noise, for three reasons. First, the interface is not a mesh feature: it is the zero contour of the P1 signed-distance function, which is located by interpolation inside elements, so recession smaller than one element is still represented in the interface position. Second, the quantities used for the conclusions are integrated: mass loss and mean penetration are mesh-converged (&lt;1%, Section S2), and the geometry effects rest on outer/inner differences of several µm, which exceed the element size. Third, the sub-element roughness in the local profiles of Fig. 7a is at the discretisation scale and is not interpreted physically.</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8.55 and 4.76 µm). The 13.2× has a very small denominator (0.28 µm, below the interface mesh size), so it is poorly constrained, and the absolute differences are similar (3.4 µm for the arc, 3.8 µm for the crown). The ratios also differ in geometry: the isolated 150° arc (radius 0.63 mm) confines its inner side more strongly than the crown within the stent.</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The corrosion products were removed with chromic acid at room temperature for 10 min. The discs were immersed lying flat (horizontal orientation). No CO₂ incubator was used; the immersion was static at 37 °C. The HBSS pH was 7.4 and is now stated in the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