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late-time increase is only weakly constrained; the curve is well resolved up to about 7 days. [Revise the Results to state that the later increase lies within the experimental scatter, or add replicates.]</w:t>
            </w:r>
          </w:p>
        </w:tc>
        <w:tc>
          <w:tcPr>
            <w:tcW w:w="1587" w:type="dxa"/>
          </w:tcPr>
          <w:p w14:paraId="0ACDE2AA" w14:textId="77777777" w:rsidR="00660073" w:rsidRDefault="00000000">
            <w:r>
              <w:rPr>
                <w:sz w:val="20"/>
              </w:rPr>
              <w:t>In progress</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in the manuscript are being corrected. [Update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In progress</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[Give the rationale or reference for the second-order dependence.]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In progress</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In progress</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In progress</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0.8-million-element mesh (about 2 h per run), mapped to the fine mesh with 0.004% error. An axisymmetric model would be cheaper for calibration, but the 3D formulation was kept so that calibration and the stent prediction use the same model. [Delete this note if no axisymmetric check is run.]</w:t>
            </w:r>
          </w:p>
        </w:tc>
        <w:tc>
          <w:tcPr>
            <w:tcW w:w="1587" w:type="dxa"/>
          </w:tcPr>
          <w:p w14:paraId="2243CAB6" w14:textId="77777777" w:rsidR="003F785C" w:rsidRDefault="00E9439A">
            <w:r>
              <w:rPr>
                <w:color w:val="000000"/>
                <w:sz w:val="20"/>
              </w:rPr>
              <w:t>In progress</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