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0.8-million-element mesh (about 2 h per run), mapped to the fine mesh with 0.004% error. An axisymmetric model would be cheaper for calibration, but the 3D formulation was kept so that calibration and the stent prediction use the same model. [Delete this note if no axisymmetric check is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