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Optimal parameters were identified by minimizing the RMSE between predicted and literature-reported 14-day mass-loss measurements. A Gaussian process (GP) surrogate model [1] was initialized using a 12-point Latin hypercube sampling (LHS) design [3] spanning the admissible parameter space and iteratively refined using the expected improvement (EI) acquisition function [2].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1</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361</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