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Response to Reviewer Comments</w:t>
      </w:r>
    </w:p>
    <w:p>
      <w:pPr>
        <w:spacing w:after="40"/>
      </w:pPr>
      <w:r>
        <w:rPr>
          <w:b w:val="0"/>
          <w:i w:val="0"/>
        </w:rPr>
        <w:t>Manuscript: A Mechanistic Framework for Predicting the Biodegradation of Zinc Implants</w:t>
      </w:r>
    </w:p>
    <w:p>
      <w:pPr>
        <w:spacing w:after="40"/>
      </w:pPr>
      <w:r>
        <w:rPr>
          <w:b w:val="0"/>
          <w:i w:val="0"/>
        </w:rPr>
        <w:t>Authors: Henaka Ariyarathna, Xuan Yang, Aijun Huang, Yunlong Tang, Yuman Zhu</w:t>
      </w:r>
    </w:p>
    <w:p>
      <w:pPr>
        <w:spacing w:after="40"/>
      </w:pPr>
      <w:r>
        <w:rPr>
          <w:b w:val="0"/>
          <w:i w:val="0"/>
        </w:rPr>
        <w:t>Target journal: Advanced Science</w:t>
      </w:r>
    </w:p>
    <w:p>
      <w:pPr>
        <w:spacing w:after="200"/>
      </w:pPr>
      <w:r>
        <w:rPr>
          <w:b w:val="0"/>
          <w:i w:val="0"/>
        </w:rPr>
        <w:t>Version / date: [to be added]</w:t>
      </w:r>
    </w:p>
    <w:p>
      <w:pPr>
        <w:pStyle w:val="Heading1"/>
      </w:pPr>
      <w:r>
        <w:t>Summary of responses</w:t>
      </w:r>
    </w:p>
    <w:p>
      <w:pPr>
        <w:spacing w:after="120"/>
      </w:pPr>
      <w:r>
        <w:rPr>
          <w:b w:val="0"/>
          <w:i/>
        </w:rPr>
        <w:t>[Add a short overview of the main changes made in response to the comments, and of any new simulations or experiments.]</w:t>
      </w:r>
    </w:p>
    <w:p>
      <w:pPr>
        <w:spacing w:after="120"/>
      </w:pPr>
      <w:r>
        <w:rPr>
          <w:b w:val="0"/>
          <w:i/>
          <w:sz w:val="20"/>
        </w:rPr>
        <w:t>Colour and notation: reviewer comments are reproduced verbatim in the left column. Page, line, figure and table numbers refer to the revised manuscript. Status: Open / In progress / Done.</w:t>
      </w:r>
    </w:p>
    <w:p>
      <w:pPr>
        <w:pStyle w:val="Heading1"/>
      </w:pPr>
      <w:r>
        <w:t>A. Fix before submission</w:t>
      </w:r>
    </w:p>
    <w:p>
      <w:pPr>
        <w:pStyle w:val="Heading2"/>
      </w:pPr>
      <w:r>
        <w:t>A1. The kinetic parameters look inconsistent with the results.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A1.1</w:t>
            </w:r>
          </w:p>
        </w:tc>
        <w:tc>
          <w:tcPr>
            <w:tcW w:type="dxa" w:w="3402"/>
          </w:tcPr>
          <w:p>
            <w:r/>
            <w:r>
              <w:rPr>
                <w:sz w:val="20"/>
              </w:rPr>
              <w:t>With k_ORR = 0.51 mm h⁻¹ and C_O₂ = 3.5 mg L⁻¹, Eq. 15 caps recession at about 0.009 mm yr⁻¹. That is about 0.7 µm in 28 days, or about 0.1% disc mass loss.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A1.2</w:t>
            </w:r>
          </w:p>
        </w:tc>
        <w:tc>
          <w:tcPr>
            <w:tcW w:type="dxa" w:w="3402"/>
          </w:tcPr>
          <w:p>
            <w:r/>
            <w:r>
              <w:rPr>
                <w:sz w:val="20"/>
              </w:rPr>
              <w:t>Fig. 5b peaks at about 0.12 mm yr⁻¹, the measured disc loses 0.31%, and the stent peaks at 0.155 mm yr⁻¹.</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A1.3</w:t>
            </w:r>
          </w:p>
        </w:tc>
        <w:tc>
          <w:tcPr>
            <w:tcW w:type="dxa" w:w="3402"/>
          </w:tcPr>
          <w:p>
            <w:r/>
            <w:r>
              <w:rPr>
                <w:sz w:val="20"/>
              </w:rPr>
              <w:t>Even k_ORR = 0.1 in Fig. 4c gives 0.28% in 168 h, which is above that ceiling.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A1.4</w:t>
            </w:r>
          </w:p>
        </w:tc>
        <w:tc>
          <w:tcPr>
            <w:tcW w:type="dxa" w:w="3402"/>
          </w:tcPr>
          <w:p>
            <w:r/>
            <w:r>
              <w:rPr>
                <w:sz w:val="20"/>
              </w:rPr>
              <w:t>Ask the student to check the units and definition of k_ORR, δ_Γ and the O₂ concentration, and to show a mass balance (O₂ consumed vs Zn lost).</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A1.5</w:t>
            </w:r>
          </w:p>
        </w:tc>
        <w:tc>
          <w:tcPr>
            <w:tcW w:type="dxa" w:w="3402"/>
          </w:tcPr>
          <w:p>
            <w:r/>
            <w:r>
              <w:rPr>
                <w:sz w:val="20"/>
              </w:rPr>
              <w:t>My arithmetic is a back-of-envelope check, so they should confirm it.</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A2. The film doesn't seem to cause the slowdown the paper attributes to it.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A2.1</w:t>
            </w:r>
          </w:p>
        </w:tc>
        <w:tc>
          <w:tcPr>
            <w:tcW w:type="dxa" w:w="3402"/>
          </w:tcPr>
          <w:p>
            <w:r/>
            <w:r>
              <w:rPr>
                <w:sz w:val="20"/>
              </w:rPr>
              <w:t>The Fig. 5c colour bar peaks at F/F_max ≈ 0.003. With Eq. 12, D_eff is then reduced by only about 0.3%.</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A2.2</w:t>
            </w:r>
          </w:p>
        </w:tc>
        <w:tc>
          <w:tcPr>
            <w:tcW w:type="dxa" w:w="3402"/>
          </w:tcPr>
          <w:p>
            <w:r/>
            <w:r>
              <w:rPr>
                <w:sz w:val="20"/>
              </w:rPr>
              <w:t>The k_f sweep (Fig. 4a) changes mass loss by only about ±6% for a 4× change in k_f.</w:t>
            </w:r>
          </w:p>
        </w:tc>
        <w:tc>
          <w:tcPr>
            <w:tcW w:type="dxa" w:w="3912"/>
          </w:tcPr>
          <w:p>
            <w:r/>
            <w:r>
              <w:rPr>
                <w:i w:val="0"/>
                <w:color w:val="000000"/>
                <w:sz w:val="20"/>
              </w:rPr>
              <w:t>We agree that the mass-loss response to variations in k_f is comparatively modest. This behaviour is consistent with the global sensitivity analysis presented in Figure 3a, which identifies dissolved oxygen availability as the dominant control on degradation and ranks k_f below C_O₂,0, k_ORR, k_d and D_O₂. The local parameter sweeps in Figure 4 further show that k_ORR produces a substantially stronger mass-loss response than k_f. Thus, the limited sensitivity to k_f is already interpreted as evidence that film-formation kinetics exert a secondary influence on overall mass loss relative to oxygen consumption and transport.</w:t>
            </w:r>
          </w:p>
        </w:tc>
        <w:tc>
          <w:tcPr>
            <w:tcW w:type="dxa" w:w="1587"/>
          </w:tcPr>
          <w:p>
            <w:r/>
            <w:r>
              <w:rPr>
                <w:sz w:val="20"/>
              </w:rPr>
              <w:t>Draft</w:t>
            </w:r>
          </w:p>
        </w:tc>
      </w:tr>
      <w:tr>
        <w:tc>
          <w:tcPr>
            <w:tcW w:type="dxa" w:w="737"/>
          </w:tcPr>
          <w:p>
            <w:r/>
            <w:r>
              <w:rPr>
                <w:sz w:val="20"/>
              </w:rPr>
              <w:t>A2.3</w:t>
            </w:r>
          </w:p>
        </w:tc>
        <w:tc>
          <w:tcPr>
            <w:tcW w:type="dxa" w:w="3402"/>
          </w:tcPr>
          <w:p>
            <w:r/>
            <w:r>
              <w:rPr>
                <w:sz w:val="20"/>
              </w:rPr>
              <w:t>The "film" in Fig. 5c extends about 0.5 mm into the electrolyte. It is a diffuse precipitate in solution, not a surface layer. Real films are micrometres thick.</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A2.4</w:t>
            </w:r>
          </w:p>
        </w:tc>
        <w:tc>
          <w:tcPr>
            <w:tcW w:type="dxa" w:w="3402"/>
          </w:tcPr>
          <w:p>
            <w:r/>
            <w:r>
              <w:rPr>
                <w:sz w:val="20"/>
              </w:rPr>
              <w:t>The √t-like decay and the O₂ depletion over about 1 mm in Fig. 5d look like transient diffusion in an unstirred electrolyte.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A2.5</w:t>
            </w:r>
          </w:p>
        </w:tc>
        <w:tc>
          <w:tcPr>
            <w:tcW w:type="dxa" w:w="3402"/>
          </w:tcPr>
          <w:p>
            <w:r/>
            <w:r>
              <w:rPr>
                <w:sz w:val="20"/>
              </w:rPr>
              <w:t>The "self-limiting corrosion-product mechanism" in the abstract and conclusions is therefore not demonstrated. The student needs to show what causes the deceleration. Options: switch the film off, or set D_eff = 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A2.6</w:t>
            </w:r>
          </w:p>
        </w:tc>
        <w:tc>
          <w:tcPr>
            <w:tcW w:type="dxa" w:w="3402"/>
          </w:tcPr>
          <w:p>
            <w:r/>
            <w:r>
              <w:rPr>
                <w:sz w:val="20"/>
              </w:rPr>
              <w:t>They should also explain what "film coverage (%)" in Fig. 4 means.</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A3. The experiment and the model don't match.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A3.1</w:t>
            </w:r>
          </w:p>
        </w:tc>
        <w:tc>
          <w:tcPr>
            <w:tcW w:type="dxa" w:w="3402"/>
          </w:tcPr>
          <w:p>
            <w:r/>
            <w:r>
              <w:rPr>
                <w:sz w:val="20"/>
              </w:rPr>
              <w:t>The medium was refreshed every 48 h, which resets O₂ and Zn²⁺. The model seems to have no refresh and no natural convection.</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A3.2</w:t>
            </w:r>
          </w:p>
        </w:tc>
        <w:tc>
          <w:tcPr>
            <w:tcW w:type="dxa" w:w="3402"/>
          </w:tcPr>
          <w:p>
            <w:r/>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A3.3</w:t>
            </w:r>
          </w:p>
        </w:tc>
        <w:tc>
          <w:tcPr>
            <w:tcW w:type="dxa" w:w="3402"/>
          </w:tcPr>
          <w:p>
            <w:r/>
            <w:r>
              <w:rPr>
                <w:sz w:val="20"/>
              </w:rPr>
              <w:t>C_O₂ = 3.5 mg L⁻¹ is about half of air-saturated saline at 37 °C (about 6–7 mg L⁻¹). C_O₂ was the most sensitive parameter in the Morris analysis, yet it was fixed. k_ORR was then fitted, so it may absorb the difference.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A3.4</w:t>
            </w:r>
          </w:p>
        </w:tc>
        <w:tc>
          <w:tcPr>
            <w:tcW w:type="dxa" w:w="3402"/>
          </w:tcPr>
          <w:p>
            <w:r/>
            <w:r>
              <w:rPr>
                <w:sz w:val="20"/>
              </w:rPr>
              <w:t>Ask for: the vessel geometry and liquid height in the model; a domain-size and refresh sensitivity test; a justification for 3.5 mg L⁻¹, applied separately to in vitro and in vivo.</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A4. "Independent validation" is weaker than it sounds.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A4.1</w:t>
            </w:r>
          </w:p>
        </w:tc>
        <w:tc>
          <w:tcPr>
            <w:tcW w:type="dxa" w:w="3402"/>
          </w:tcPr>
          <w:p>
            <w:r/>
            <w:r>
              <w:rPr>
                <w:sz w:val="20"/>
              </w:rPr>
              <w:t>Calibration used Liu's r-SBF data (Tris-buffered, 14 days). Validation used HBSS data (28 days), and the two media differ chemically.</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A4.2</w:t>
            </w:r>
          </w:p>
        </w:tc>
        <w:tc>
          <w:tcPr>
            <w:tcW w:type="dxa" w:w="3402"/>
          </w:tcPr>
          <w:p>
            <w:r/>
            <w:r>
              <w:rPr>
                <w:sz w:val="20"/>
              </w:rPr>
              <w:t>The model has a single ZnO phase and no phosphate or carbonate. The paper justifies this with in vivo data showing that complex phases appear only after about 4.5 months. In vitro media with phosphate and carbonate form these phases within days, as the authors' own refs 42 and 44 show.</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A4.3</w:t>
            </w:r>
          </w:p>
        </w:tc>
        <w:tc>
          <w:tcPr>
            <w:tcW w:type="dxa" w:w="3402"/>
          </w:tcPr>
          <w:p>
            <w:r/>
            <w:r>
              <w:rPr>
                <w:sz w:val="20"/>
              </w:rPr>
              <w:t>The validation RMSE (0.0159%) is lower than the calibration RMSE (0.042%), which is unusual and needs explaining.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A4.4</w:t>
            </w:r>
          </w:p>
        </w:tc>
        <w:tc>
          <w:tcPr>
            <w:tcW w:type="dxa" w:w="3402"/>
          </w:tcPr>
          <w:p>
            <w:r/>
            <w:r>
              <w:rPr>
                <w:sz w:val="20"/>
              </w:rPr>
              <w:t>The fit sits well inside the experimental noise: 28-day SD is 0.115%, n = 3, 5 points. Report normalised error (about 5–8% of the mean), not just RMSE and R².</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A4.5</w:t>
            </w:r>
          </w:p>
        </w:tc>
        <w:tc>
          <w:tcPr>
            <w:tcW w:type="dxa" w:w="3402"/>
          </w:tcPr>
          <w:p>
            <w:r/>
            <w:r>
              <w:rPr>
                <w:sz w:val="20"/>
              </w:rPr>
              <w:t>The earliest data point is at 24 h, but the reaction-to-diffusion transition is claimed at about 15–40 h. Nothing constrains that.</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A4.6</w:t>
            </w:r>
          </w:p>
        </w:tc>
        <w:tc>
          <w:tcPr>
            <w:tcW w:type="dxa" w:w="3402"/>
          </w:tcPr>
          <w:p>
            <w:r/>
            <w:r>
              <w:rPr>
                <w:sz w:val="20"/>
              </w:rPr>
              <w:t>The 14 d → 28 d difference (3.03 vs 3.67 mg) is smaller than the SD.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A4.7</w:t>
            </w:r>
          </w:p>
        </w:tc>
        <w:tc>
          <w:tcPr>
            <w:tcW w:type="dxa" w:w="3402"/>
          </w:tcPr>
          <w:p>
            <w:r/>
            <w:r>
              <w:rPr>
                <w:sz w:val="20"/>
              </w:rPr>
              <w:t>A Pearson r of 0.95 for two monotonic saturating curves is not a meaningful validation of Zn²⁺ and pH. The model overpredicts Zn²⁺ by about 45% at 336 h.</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A5. Calibration identifiability is not shown.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A5.1</w:t>
            </w:r>
          </w:p>
        </w:tc>
        <w:tc>
          <w:tcPr>
            <w:tcW w:type="dxa" w:w="3402"/>
          </w:tcPr>
          <w:p>
            <w:r/>
            <w:r>
              <w:rPr>
                <w:sz w:val="20"/>
              </w:rPr>
              <w:t>Fig. 3b: the RMSE of 0.046% was already found at iteration 6, versus 0.042% at "the optimum" (iteration 22). The plateau at about 0.058% suggests a flat landscape.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A5.2</w:t>
            </w:r>
          </w:p>
        </w:tc>
        <w:tc>
          <w:tcPr>
            <w:tcW w:type="dxa" w:w="3402"/>
          </w:tcPr>
          <w:p>
            <w:r/>
            <w:r>
              <w:rPr>
                <w:sz w:val="20"/>
              </w:rPr>
              <w:t>k_f is the least influential of the calibrated parameters in Fig. 3a. Ask for parameter correlation, a profile likelihood or a posterior.</w:t>
            </w:r>
          </w:p>
        </w:tc>
        <w:tc>
          <w:tcPr>
            <w:tcW w:type="dxa" w:w="3912"/>
          </w:tcPr>
          <w:p>
            <w:r/>
            <w:r>
              <w:rPr>
                <w:i w:val="0"/>
                <w:color w:val="000000"/>
                <w:sz w:val="20"/>
              </w:rPr>
              <w:t>The relative influence of k_f is addressed in the response to A2.2 (Figure 3a ranks k_f below C_O₂,0, k_ORR, k_d and D_O₂). [Parameter correlation / profile-likelihood analysis to be completed.]</w:t>
            </w:r>
          </w:p>
        </w:tc>
        <w:tc>
          <w:tcPr>
            <w:tcW w:type="dxa" w:w="1587"/>
          </w:tcPr>
          <w:p>
            <w:r/>
            <w:r>
              <w:rPr>
                <w:sz w:val="20"/>
              </w:rPr>
              <w:t>In progress</w:t>
            </w:r>
          </w:p>
        </w:tc>
      </w:tr>
      <w:tr>
        <w:tc>
          <w:tcPr>
            <w:tcW w:type="dxa" w:w="737"/>
          </w:tcPr>
          <w:p>
            <w:r/>
            <w:r>
              <w:rPr>
                <w:sz w:val="20"/>
              </w:rPr>
              <w:t>A5.3</w:t>
            </w:r>
          </w:p>
        </w:tc>
        <w:tc>
          <w:tcPr>
            <w:tcW w:type="dxa" w:w="3402"/>
          </w:tcPr>
          <w:p>
            <w:r/>
            <w:r>
              <w:rPr>
                <w:sz w:val="20"/>
              </w:rPr>
              <w:t>The GSA excluded ε, τ, F_max and [Zn]_sat, which control the film mechanism, and took its parameter ranges from unstated sources.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A5.4</w:t>
            </w:r>
          </w:p>
        </w:tc>
        <w:tc>
          <w:tcPr>
            <w:tcW w:type="dxa" w:w="3402"/>
          </w:tcPr>
          <w:p>
            <w:r/>
            <w:r>
              <w:rPr>
                <w:sz w:val="20"/>
              </w:rPr>
              <w:t>"Sensitivity to O₂ matches experiments, so the model reproduces oxygen-controlled behaviour" is circular. The model assumes ORR control.</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A6. The stent result needs a baseline.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A6.1</w:t>
            </w:r>
          </w:p>
        </w:tc>
        <w:tc>
          <w:tcPr>
            <w:tcW w:type="dxa" w:w="3402"/>
          </w:tcPr>
          <w:p>
            <w:r/>
            <w:r>
              <w:rPr>
                <w:sz w:val="20"/>
              </w:rPr>
              <w:t>The paper says mass loss scales about linearly with SA:V. A disc-calibrated rate scaled by SA:V may give a similar or higher number (rough estimate 8–9%). Without that comparison, the 6% doesn't show the mechanistic model adds anything.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A6.2</w:t>
            </w:r>
          </w:p>
        </w:tc>
        <w:tc>
          <w:tcPr>
            <w:tcW w:type="dxa" w:w="3402"/>
          </w:tcPr>
          <w:p>
            <w:r/>
            <w:r>
              <w:rPr>
                <w:sz w:val="20"/>
              </w:rPr>
              <w:t>Show the baseline. The real added value is the spatial distribution.</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A6.3</w:t>
            </w:r>
          </w:p>
        </w:tc>
        <w:tc>
          <w:tcPr>
            <w:tcW w:type="dxa" w:w="3402"/>
          </w:tcPr>
          <w:p>
            <w:r/>
            <w:r>
              <w:rPr>
                <w:sz w:val="20"/>
              </w:rPr>
              <w:t>The stent dimensions are not given in the main text. "Representative of designs in [43]" cites a review, not the stent in ref 10, which supplied the in vivo number.</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A6.4</w:t>
            </w:r>
          </w:p>
        </w:tc>
        <w:tc>
          <w:tcPr>
            <w:tcW w:type="dxa" w:w="3402"/>
          </w:tcPr>
          <w:p>
            <w:r/>
            <w:r>
              <w:rPr>
                <w:sz w:val="20"/>
              </w:rPr>
              <w:t>In vivo there is flow, protein and different O₂ supply. The abstract and conclusions should say "same order of magnitude" rather than "consistent with in vivo".</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1"/>
      </w:pPr>
      <w:r>
        <w:t>B. Should fix</w:t>
      </w:r>
    </w:p>
    <w:p>
      <w:pPr>
        <w:pStyle w:val="Heading2"/>
      </w:pPr>
      <w:r>
        <w:t>B1. Model formulation.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B1.1</w:t>
            </w:r>
          </w:p>
        </w:tc>
        <w:tc>
          <w:tcPr>
            <w:tcW w:type="dxa" w:w="3402"/>
          </w:tcPr>
          <w:p>
            <w:r/>
            <w:r>
              <w:rPr>
                <w:sz w:val="20"/>
              </w:rPr>
              <w:t>The min() in Eq. 17 looks redundant with the Robin O₂ boundary condition, and it can break the O₂–Zn mass balance.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B1.2</w:t>
            </w:r>
          </w:p>
        </w:tc>
        <w:tc>
          <w:tcPr>
            <w:tcW w:type="dxa" w:w="3402"/>
          </w:tcPr>
          <w:p>
            <w:r/>
            <w:r>
              <w:rPr>
                <w:sz w:val="20"/>
              </w:rPr>
              <w:t>[Zn]_sat is used in Eq. 14 but not as a precipitation threshold in Eq. 11. Zn²⁺ reaches 57 mg L⁻¹, well above the 10 mg L⁻¹ value used.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B1.3</w:t>
            </w:r>
          </w:p>
        </w:tc>
        <w:tc>
          <w:tcPr>
            <w:tcW w:type="dxa" w:w="3402"/>
          </w:tcPr>
          <w:p>
            <w:r/>
            <w:r>
              <w:rPr>
                <w:sz w:val="20"/>
              </w:rPr>
              <w:t>F_max is molar, but k_d's units (mm⁶ g⁻² h⁻¹) imply a mass basis.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B1.4</w:t>
            </w:r>
          </w:p>
        </w:tc>
        <w:tc>
          <w:tcPr>
            <w:tcW w:type="dxa" w:w="3402"/>
          </w:tcPr>
          <w:p>
            <w:r/>
            <w:r>
              <w:rPr>
                <w:sz w:val="20"/>
              </w:rPr>
              <w:t>Explain why Cl⁻ enters as C_Cl² when Eq. 5 is fourth-order, and why Cl⁻ is "catalytic" when Eq. 5 consumes it.</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B1.5</w:t>
            </w:r>
          </w:p>
        </w:tc>
        <w:tc>
          <w:tcPr>
            <w:tcW w:type="dxa" w:w="3402"/>
          </w:tcPr>
          <w:p>
            <w:r/>
            <w:r>
              <w:rPr>
                <w:sz w:val="20"/>
              </w:rPr>
              <w:t>Say how the film is placed relative to the receding interface (the ZnO/Zn volume ratio is about 1.6).</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B1.6</w:t>
            </w:r>
          </w:p>
        </w:tc>
        <w:tc>
          <w:tcPr>
            <w:tcW w:type="dxa" w:w="3402"/>
          </w:tcPr>
          <w:p>
            <w:r/>
            <w:r>
              <w:rPr>
                <w:sz w:val="20"/>
              </w:rPr>
              <w:t>Say how δ_Γ is regularised.</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B2. Numerics.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B2.1</w:t>
            </w:r>
          </w:p>
        </w:tc>
        <w:tc>
          <w:tcPr>
            <w:tcW w:type="dxa" w:w="3402"/>
          </w:tcPr>
          <w:p>
            <w:r/>
            <w:r>
              <w:rPr>
                <w:sz w:val="20"/>
              </w:rPr>
              <w:t>18.9M elements for the disc is hard to square with "low-dimensional" and "computationally tractable", especially when the paper says transport is essentially 1D. State the cost, and consider an axisymmetric model for calibration.</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B2.2</w:t>
            </w:r>
          </w:p>
        </w:tc>
        <w:tc>
          <w:tcPr>
            <w:tcW w:type="dxa" w:w="3402"/>
          </w:tcPr>
          <w:p>
            <w:r/>
            <w:r>
              <w:rPr>
                <w:sz w:val="20"/>
              </w:rPr>
              <w:t>Give the interface mesh size relative to the 3–8 µm recession. The jagged surfaces in Fig. 7a look like discretisation noise.</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B3. Fig. 4.</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B3.1</w:t>
            </w:r>
          </w:p>
        </w:tc>
        <w:tc>
          <w:tcPr>
            <w:tcW w:type="dxa" w:w="3402"/>
          </w:tcPr>
          <w:p>
            <w:r/>
            <w:r>
              <w:rPr>
                <w:sz w:val="20"/>
              </w:rPr>
              <w:t>The sweeps use k_f = 100, k_d = 30 and k_ORR = 1.0 as the baseline, not the optimised Table 2 values. The baseline gives 0.39% at 168 h versus about 0.19% in the calibrated Fig. 5a.</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B4. Wire study.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B4.1</w:t>
            </w:r>
          </w:p>
        </w:tc>
        <w:tc>
          <w:tcPr>
            <w:tcW w:type="dxa" w:w="3402"/>
          </w:tcPr>
          <w:p>
            <w:r/>
            <w:r>
              <w:rPr>
                <w:sz w:val="20"/>
              </w:rPr>
              <w:t>The text gives 2.1–2.7 µm for both the curved and the spaced wires. Fig. 8c shows about 2.4–2.7 µm for curvature and about 2.1–2.4 µm for spacing.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B4.2</w:t>
            </w:r>
          </w:p>
        </w:tc>
        <w:tc>
          <w:tcPr>
            <w:tcW w:type="dxa" w:w="3402"/>
          </w:tcPr>
          <w:p>
            <w:r/>
            <w:r>
              <w:rPr>
                <w:sz w:val="20"/>
              </w:rPr>
              <w:t>Define "±1 std" in Fig. 8c.</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B4.3</w:t>
            </w:r>
          </w:p>
        </w:tc>
        <w:tc>
          <w:tcPr>
            <w:tcW w:type="dxa" w:w="3402"/>
          </w:tcPr>
          <w:p>
            <w:r/>
            <w:r>
              <w:rPr>
                <w:sz w:val="20"/>
              </w:rPr>
              <w:t>Explain the 13.2× ratio for the 150° arc, given that the stent crown in Fig. 7 shows only about 1.8× (8.55/4.76). The ratio is probably a very small denominator.</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B5. Experimental detail.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B5.1</w:t>
            </w:r>
          </w:p>
        </w:tc>
        <w:tc>
          <w:tcPr>
            <w:tcW w:type="dxa" w:w="3402"/>
          </w:tcPr>
          <w:p>
            <w:r/>
            <w:r>
              <w:rPr>
                <w:sz w:val="20"/>
              </w:rPr>
              <w:t>Give the balance resolution and whether cleaning blank controls were run. Masses are about 0.5 mg on a 1.1 g disc.</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B5.2</w:t>
            </w:r>
          </w:p>
        </w:tc>
        <w:tc>
          <w:tcPr>
            <w:tcW w:type="dxa" w:w="3402"/>
          </w:tcPr>
          <w:p>
            <w:r/>
            <w:r>
              <w:rPr>
                <w:sz w:val="20"/>
              </w:rPr>
              <w:t>Give the chromic acid temperature and time, disc orientation, CO₂/incubator conditions and pH of HBSS.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B5.3</w:t>
            </w:r>
          </w:p>
        </w:tc>
        <w:tc>
          <w:tcPr>
            <w:tcW w:type="dxa" w:w="3402"/>
          </w:tcPr>
          <w:p>
            <w:r/>
            <w:r>
              <w:rPr>
                <w:sz w:val="20"/>
              </w:rPr>
              <w:t>Measure Zn²⁺ by ICP in the refreshed solution as an independent check on mass loss.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B5.4</w:t>
            </w:r>
          </w:p>
        </w:tc>
        <w:tc>
          <w:tcPr>
            <w:tcW w:type="dxa" w:w="3402"/>
          </w:tcPr>
          <w:p>
            <w:r/>
            <w:r>
              <w:rPr>
                <w:sz w:val="20"/>
              </w:rPr>
              <w:t>Ideally add one mechanism test, such as film thickness from FIB or SEM cross-sections, or a stirred or different-O₂ experiment.</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B6. Positioning.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B6.1</w:t>
            </w:r>
          </w:p>
        </w:tc>
        <w:tc>
          <w:tcPr>
            <w:tcW w:type="dxa" w:w="3402"/>
          </w:tcPr>
          <w:p>
            <w:r/>
            <w:r>
              <w:rPr>
                <w:sz w:val="20"/>
              </w:rPr>
              <w:t>Give a clearer comparison with Chen et al. [23] and the Mg level-set models [18,19]. "Predicting" and "transferable" in the title and Intro are strong for one geometry and one medium.</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1"/>
      </w:pPr>
      <w:r>
        <w:t>C. Presentation and consistency</w:t>
      </w:r>
    </w:p>
    <w:p>
      <w:pPr>
        <w:pStyle w:val="Heading2"/>
      </w:pPr>
      <w:r>
        <w:t>C1. Availability statements.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C1.1</w:t>
            </w:r>
          </w:p>
        </w:tc>
        <w:tc>
          <w:tcPr>
            <w:tcW w:type="dxa" w:w="3402"/>
          </w:tcPr>
          <w:p>
            <w:r/>
            <w:r>
              <w:rPr>
                <w:sz w:val="20"/>
              </w:rPr>
              <w:t>The Code Availability statement says GitHub but links a Zenodo DOI. There is no Data Availability Statement, which Wiley requires.</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C2. Wording consistency.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C2.1</w:t>
            </w:r>
          </w:p>
        </w:tc>
        <w:tc>
          <w:tcPr>
            <w:tcW w:type="dxa" w:w="3402"/>
          </w:tcPr>
          <w:p>
            <w:r/>
            <w:r>
              <w:rPr>
                <w:sz w:val="20"/>
              </w:rPr>
              <w:t>The Results call the framework "computationally tractable" but the Discussion says it is "computationally demanding".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C2.2</w:t>
            </w:r>
          </w:p>
        </w:tc>
        <w:tc>
          <w:tcPr>
            <w:tcW w:type="dxa" w:w="3402"/>
          </w:tcPr>
          <w:p>
            <w:r/>
            <w:r>
              <w:rPr>
                <w:sz w:val="20"/>
              </w:rPr>
              <w:t>The text cites "Section 2.3" but the headings are not numbered.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C2.3</w:t>
            </w:r>
          </w:p>
        </w:tc>
        <w:tc>
          <w:tcPr>
            <w:tcW w:type="dxa" w:w="3402"/>
          </w:tcPr>
          <w:p>
            <w:r/>
            <w:r>
              <w:rPr>
                <w:sz w:val="20"/>
              </w:rPr>
              <w:t>Fix "a R²", "literature" capitalised mid-sentence, and "shown in (Figure 4g–i)".</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C3. References.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C3.1</w:t>
            </w:r>
          </w:p>
        </w:tc>
        <w:tc>
          <w:tcPr>
            <w:tcW w:type="dxa" w:w="3402"/>
          </w:tcPr>
          <w:p>
            <w:r/>
            <w:r>
              <w:rPr>
                <w:sz w:val="20"/>
              </w:rPr>
              <w:t>Ref 14 and ref 25 spell AlBaraghtheh differently.</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C3.2</w:t>
            </w:r>
          </w:p>
        </w:tc>
        <w:tc>
          <w:tcPr>
            <w:tcW w:type="dxa" w:w="3402"/>
          </w:tcPr>
          <w:p>
            <w:r/>
            <w:r>
              <w:rPr>
                <w:sz w:val="20"/>
              </w:rPr>
              <w:t>Refs 34 and 35 are two CRC editions (1991 and 2017).</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C3.3</w:t>
            </w:r>
          </w:p>
        </w:tc>
        <w:tc>
          <w:tcPr>
            <w:tcW w:type="dxa" w:w="3402"/>
          </w:tcPr>
          <w:p>
            <w:r/>
            <w:r>
              <w:rPr>
                <w:sz w:val="20"/>
              </w:rPr>
              <w:t>Ref 31 has a duplicated title.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C3.4</w:t>
            </w:r>
          </w:p>
        </w:tc>
        <w:tc>
          <w:tcPr>
            <w:tcW w:type="dxa" w:w="3402"/>
          </w:tcPr>
          <w:p>
            <w:r/>
            <w:r>
              <w:rPr>
                <w:sz w:val="20"/>
              </w:rPr>
              <w:t>Re-verify the 2026 references (9, 23, 30). I couldn't check article numbers beyond my knowledge.</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C4. Definitions.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C4.1</w:t>
            </w:r>
          </w:p>
        </w:tc>
        <w:tc>
          <w:tcPr>
            <w:tcW w:type="dxa" w:w="3402"/>
          </w:tcPr>
          <w:p>
            <w:r/>
            <w:r>
              <w:rPr>
                <w:sz w:val="20"/>
              </w:rPr>
              <w:t>Define the Damköhler number and the "transition" criterion in the main text.</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1"/>
      </w:pPr>
      <w:r>
        <w:t>Additional changes made by the authors</w:t>
      </w:r>
    </w:p>
    <w:p>
      <w:pPr>
        <w:spacing w:after="120"/>
      </w:pPr>
      <w:r>
        <w:rPr>
          <w:b w:val="0"/>
          <w:i/>
        </w:rPr>
        <w:t>[List any changes not requested by the reviewer.]</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