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5DB162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interface velocity</w:t>
            </w:r>
          </w:p>
        </w:tc>
        <w:tc>
          <w:tcPr>
            <w:tcW w:w="3826" w:type="dxa"/>
            <w:vAlign w:val="center"/>
          </w:tcPr>
          <w:p w14:paraId="7C71BF13" w14:textId="791B4F23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27B7DEBD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S1–S2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53E8B739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S3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ins w:id="9027" w:author="Claude" w:date="2026-10-09T21:46:25Z">
              <w:r>
                <w:rPr>
                  <w:sz w:val="20"/>
                  <w:szCs w:val="20"/>
                </w:rPr>
                <w:t xml:space="preserve">Calibration by </w:t>
              </w:r>
            </w:ins>
            <w:r>
              <w:rPr>
                <w:sz w:val="20"/>
                <w:szCs w:val="20"/>
              </w:rPr>
              <w:t xml:space="preserve">Bayesian </w:t>
            </w:r>
            <w:del w:id="9026" w:author="Claude" w:date="2026-10-09T21:46:25Z">
              <w:r>
                <w:rPr>
                  <w:sz w:val="20"/>
                  <w:szCs w:val="20"/>
                </w:rPr>
                <w:delText xml:space="preserve">calibration</w:delText>
              </w:r>
            </w:del>
            <w:ins w:id="9025" w:author="Claude" w:date="2026-10-09T21:46:25Z">
              <w:r>
                <w:rPr>
                  <w:sz w:val="20"/>
                  <w:szCs w:val="20"/>
                </w:rPr>
                <w:t xml:space="preserve">optimization</w:t>
              </w:r>
            </w:ins>
            <w:r>
              <w:rPr>
                <w:sz w:val="20"/>
                <w:szCs w:val="20"/>
              </w:rPr>
              <w:t xml:space="preserve"> and validation</w:t>
            </w:r>
          </w:p>
        </w:tc>
        <w:tc>
          <w:tcPr>
            <w:tcW w:w="3826" w:type="dxa"/>
            <w:vAlign w:val="center"/>
          </w:tcPr>
          <w:p w14:paraId="4B70AB4F" w14:textId="21C9F940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S4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5C6BC32C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S5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1676EE1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S6–S8</w:t>
            </w:r>
          </w:p>
        </w:tc>
      </w:tr>
    </w:tbl>
    <w:p w14:paraId="03DBB6A3" w14:textId="2815B390" w:rsidR="003D0986" w:rsidRDefault="001C0510" w:rsidP="00BE6B79">
      <w:pPr>
        <w:pStyle w:val="Heading1"/>
        <w:pageBreakBefore/>
        <w:spacing w:before="360"/>
      </w:pPr>
      <w:r>
        <w:t>S1. Model equations and interface velocity</w:t>
      </w:r>
    </w:p>
    <w:p w14:paraId="027A5002" w14:textId="77777777" w:rsidR="001C0510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00000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02C2AC2C" w14:textId="5CAF58E2" w:rsidR="005639C1" w:rsidRDefault="00554D08">
      <w:pPr>
        <w:pStyle w:val="BodyText"/>
        <w:spacing w:after="120"/>
        <w:ind w:firstLine="0"/>
      </w:pPr>
      <w:r w:rsidRPr="00430123">
        <w:t>At the metal–electrolyte interface, the oxygen flux supplied by diffusion equals the oxygen consumed by the cathodic reaction (Robin condition):</w:t>
      </w:r>
    </w:p>
    <w:p w14:paraId="3ECCFA25" w14:textId="77777777" w:rsidR="005639C1" w:rsidRDefault="00554D08">
      <w:pPr>
        <w:pStyle w:val="BodyText"/>
        <w:spacing w:after="120"/>
        <w:ind w:firstLine="0"/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eff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ORR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</m:oMath>
      </m:oMathPara>
    </w:p>
    <w:p w14:paraId="39446F45" w14:textId="77777777" w:rsidR="005639C1" w:rsidRDefault="00554D08">
      <w:pPr>
        <w:pStyle w:val="BodyText"/>
        <w:spacing w:after="120"/>
        <w:ind w:firstLine="0"/>
      </w:pPr>
      <w:r w:rsidRPr="00430123">
        <w:t>Over a transport length δ, with C</w:t>
      </w:r>
      <w:r w:rsidRPr="00430123">
        <w:rPr>
          <w:vertAlign w:val="subscript"/>
        </w:rPr>
        <w:t>b</w:t>
      </w:r>
      <w:r w:rsidRPr="00430123">
        <w:t xml:space="preserve"> the oxygen concentration outside the depleted layer, the supplied flux is D</w:t>
      </w:r>
      <w:r w:rsidRPr="00430123">
        <w:rPr>
          <w:vertAlign w:val="subscript"/>
        </w:rPr>
        <w:t>O2,eff</w:t>
      </w:r>
      <w:r w:rsidRPr="00430123">
        <w:t>(C</w:t>
      </w:r>
      <w:r w:rsidRPr="00430123">
        <w:rPr>
          <w:vertAlign w:val="subscript"/>
        </w:rPr>
        <w:t>b</w:t>
      </w:r>
      <w:r w:rsidRPr="00430123">
        <w:t xml:space="preserve"> −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>)/δ. Equating it to k</w:t>
      </w:r>
      <w:r w:rsidRPr="00430123">
        <w:rPr>
          <w:vertAlign w:val="subscript"/>
        </w:rPr>
        <w:t>ORR</w:t>
      </w:r>
      <w:r w:rsidRPr="00430123">
        <w:t>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gives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= C</w:t>
      </w:r>
      <w:r w:rsidRPr="00430123">
        <w:rPr>
          <w:vertAlign w:val="subscript"/>
        </w:rPr>
        <w:t>b</w:t>
      </w:r>
      <w:r w:rsidRPr="00430123">
        <w:t>/(1 + k</w:t>
      </w:r>
      <w:r w:rsidRPr="00430123">
        <w:rPr>
          <w:vertAlign w:val="subscript"/>
        </w:rPr>
        <w:t>ORR</w:t>
      </w:r>
      <w:r w:rsidRPr="00430123">
        <w:t>δ/D</w:t>
      </w:r>
      <w:r w:rsidRPr="00430123">
        <w:rPr>
          <w:vertAlign w:val="subscript"/>
        </w:rPr>
        <w:t>O2,eff</w:t>
      </w:r>
      <w:r w:rsidRPr="00430123">
        <w:t>), so the interfacial flux is the series (harmonic) combination of the reaction and transport resistances:</w:t>
      </w:r>
    </w:p>
    <w:p w14:paraId="116D8C3A" w14:textId="77777777" w:rsidR="005639C1" w:rsidRDefault="00000000">
      <w:pPr>
        <w:pStyle w:val="BodyText"/>
        <w:spacing w:after="120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O₂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eff</m:t>
                      </m:r>
                    </m:sup>
                  </m:sSup>
                </m:den>
              </m:f>
            </m:den>
          </m:f>
        </m:oMath>
      </m:oMathPara>
    </w:p>
    <w:p w14:paraId="74585EDB" w14:textId="77777777" w:rsidR="005639C1" w:rsidRDefault="00554D08">
      <w:pPr>
        <w:pStyle w:val="BodyText"/>
        <w:spacing w:after="120"/>
        <w:ind w:firstLine="0"/>
      </w:pPr>
      <w:r w:rsidRPr="00430123">
        <w:t>Interface velocity. Each mole of O₂ reduced at the interface removes two moles of Zn (O₂ + 2Zn + 2H₂O → 2Zn²⁺ + 4OH⁻), so the normal velocity of the level set is</w:t>
      </w:r>
    </w:p>
    <w:p w14:paraId="7D3BE2C7" w14:textId="77777777" w:rsidR="005639C1" w:rsidRDefault="00000000">
      <w:pPr>
        <w:pStyle w:val="BodyText"/>
        <w:spacing w:after="120"/>
        <w:ind w:firstLine="0"/>
        <w:rPr>
          <w:ins w:id="0" w:author="Claude" w:date="2026-10-09T04:34:00Z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ORR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|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[Zn]</m:t>
                  </m:r>
                </m:e>
                <m:sub>
                  <m:r>
                    <w:rPr>
                      <w:rFonts w:ascii="Cambria Math" w:hAnsi="Cambria Math"/>
                    </w:rPr>
                    <m:t>sol</m:t>
                  </m:r>
                </m:sub>
              </m:sSub>
            </m:den>
          </m:f>
        </m:oMath>
      </m:oMathPara>
    </w:p>
    <w:p w14:paraId="7FD030E7" w14:textId="741AC092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>Table S1. Limiting regimes of the interfacial oxygen flux.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sz w:val="20"/>
          <w:szCs w:val="20"/>
        </w:rPr>
        <w:fldChar w:fldCharType="end"/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67DB942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CBDC4F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Regime</w:t>
            </w:r>
          </w:p>
        </w:tc>
        <w:tc>
          <w:tcPr>
            <w:tcW w:w="3009" w:type="dxa"/>
            <w:vAlign w:val="center"/>
          </w:tcPr>
          <w:p w14:paraId="773A864E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Condition</w:t>
            </w:r>
          </w:p>
        </w:tc>
        <w:tc>
          <w:tcPr>
            <w:tcW w:w="3008" w:type="dxa"/>
            <w:vAlign w:val="center"/>
          </w:tcPr>
          <w:p w14:paraId="1B3F5639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Interfacial flux J_O₂</w:t>
            </w:r>
          </w:p>
        </w:tc>
      </w:tr>
      <w:tr w:rsidR="00F36A97" w:rsidRPr="00F36A97" w14:paraId="07EBB006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Reaction-controlled</w:t>
            </w:r>
          </w:p>
        </w:tc>
        <w:tc>
          <w:tcPr>
            <w:tcW w:w="3009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≪ 1</w:t>
            </w:r>
          </w:p>
        </w:tc>
        <w:tc>
          <w:tcPr>
            <w:tcW w:w="3008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</w:p>
        </w:tc>
      </w:tr>
      <w:tr w:rsidR="00F36A97" w:rsidRPr="00F36A97" w14:paraId="09BDC804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7CC7C77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Transition</w:t>
            </w:r>
          </w:p>
        </w:tc>
        <w:tc>
          <w:tcPr>
            <w:tcW w:w="3009" w:type="dxa"/>
            <w:vAlign w:val="center"/>
          </w:tcPr>
          <w:p w14:paraId="7ACFDA7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≈ 1</w:t>
            </w:r>
          </w:p>
        </w:tc>
        <w:tc>
          <w:tcPr>
            <w:tcW w:w="3008" w:type="dxa"/>
            <w:vAlign w:val="center"/>
          </w:tcPr>
          <w:p w14:paraId="12FCDD2D" w14:textId="7D1768FA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/(1/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+ δ/D</w:t>
            </w:r>
            <w:r w:rsidR="00F36A97"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="00F36A97"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)</w:t>
            </w:r>
          </w:p>
        </w:tc>
      </w:tr>
      <w:tr w:rsidR="00F36A97" w:rsidRPr="00F36A97" w14:paraId="04D8CAE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0AEEB9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Diffusion-controlled</w:t>
            </w:r>
          </w:p>
        </w:tc>
        <w:tc>
          <w:tcPr>
            <w:tcW w:w="3009" w:type="dxa"/>
            <w:vAlign w:val="center"/>
          </w:tcPr>
          <w:p w14:paraId="618FD04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≫ 1</w:t>
            </w:r>
          </w:p>
        </w:tc>
        <w:tc>
          <w:tcPr>
            <w:tcW w:w="3008" w:type="dxa"/>
            <w:vAlign w:val="center"/>
          </w:tcPr>
          <w:p w14:paraId="6536DD68" w14:textId="541FCBF3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/δ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BECDDE2" w14:textId="595E96F1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>Table S2 and Figure S1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00000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67E452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fldChar w:fldCharType="begin"/>
      </w:r>
      <w:r w:rsidR="00EC20EE">
        <w:rPr>
          <w:b/>
          <w:bCs/>
          <w:sz w:val="20"/>
          <w:szCs w:val="20"/>
        </w:rPr>
        <w:instrText xml:space="preserve"> SEQ Figure \* ARABIC </w:instrText>
      </w:r>
      <w:r w:rsidR="00EC20EE">
        <w:rPr>
          <w:b/>
          <w:bCs/>
          <w:sz w:val="20"/>
          <w:szCs w:val="20"/>
        </w:rPr>
        <w:fldChar w:fldCharType="separate"/>
      </w:r>
      <w:r w:rsidR="00EC20EE">
        <w:rPr>
          <w:b/>
          <w:bCs/>
          <w:sz w:val="20"/>
          <w:szCs w:val="20"/>
        </w:rPr>
        <w:t>1</w:t>
      </w:r>
      <w:r w:rsidR="00EC20EE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4457CB48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622AB4E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802</w:t>
            </w:r>
            <w:r w:rsidRPr="0017409B">
              <w:rPr>
                <w:rFonts w:cs="Times New Roman"/>
                <w:sz w:val="20"/>
                <w:szCs w:val="20"/>
                <w:lang w:eastAsia="en-US"/>
              </w:rPr>
              <w:t>,</w:t>
            </w:r>
            <w:r>
              <w:rPr>
                <w:rFonts w:cs="Times New Roman"/>
                <w:sz w:val="20"/>
                <w:szCs w:val="20"/>
                <w:lang w:eastAsia="en-US"/>
              </w:rPr>
              <w:t>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1B6BF9F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18620520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036B6888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2E763E36" w:rsidR="00554D08" w:rsidRPr="0017409B" w:rsidRDefault="0079244B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093D6C5F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20DE80E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13049AE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  <w:ins w:id="1" w:author="Claude" w:date="2026-10-09T01:36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32D41101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1×10⁴ – 8×10⁵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48B43C73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2×10⁷ – 4×10⁸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6B1F674B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8 – 800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285FE432" w:rsidR="00554D08" w:rsidRPr="00A26FEC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1×10⁻⁹ – 1×10⁻⁸</w:t>
            </w:r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8536D5B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 xml:space="preserve">S5. </w:t>
      </w:r>
      <w:ins w:id="9003" w:author="Claude" w:date="2026-10-09T21:46:25Z">
        <w:r>
          <w:t xml:space="preserve">Calibration by </w:t>
        </w:r>
      </w:ins>
      <w:r>
        <w:t xml:space="preserve">Bayesian </w:t>
      </w:r>
      <w:del w:id="9002" w:author="Claude" w:date="2026-10-09T21:46:25Z">
        <w:r>
          <w:delText xml:space="preserve">calibration</w:delText>
        </w:r>
      </w:del>
      <w:ins w:id="9001" w:author="Claude" w:date="2026-10-09T21:46:25Z">
        <w:r>
          <w:t xml:space="preserve">optimization</w:t>
        </w:r>
      </w:ins>
      <w:r>
        <w:t xml:space="preserve"> and validation</w:t>
      </w:r>
    </w:p>
    <w:p w14:paraId="64C1FDF0" w14:textId="3397468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</w:t>
      </w:r>
      <w:ins w:id="9008" w:author="Claude" w:date="2026-10-09T21:46:25Z">
        <w:r w:rsidRPr="00DA0507">
          <w:t xml:space="preserve"> by Bayesian optimization of a deterministic RMSE objective, i.e.</w:t>
        </w:r>
      </w:ins>
      <w:r w:rsidRPr="00DA0507">
        <w:t xml:space="preserve"> by minimizing the RMSE between predicted and literature-reported 14-day mass-loss measurements</w:t>
      </w:r>
      <w:ins w:id="9007" w:author="Claude" w:date="2026-10-09T21:46:25Z">
        <w:r w:rsidRPr="00DA0507">
          <w:t xml:space="preserve">; this locates the minimum-RMSE parameter set and is not Bayesian parameter inference</w:t>
        </w:r>
      </w:ins>
      <w:r w:rsidRPr="00DA0507">
        <w:t xml:space="preserve">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2" w:author="Claude" w:date="2026-10-09T01:36:00Z">
        <w:r w:rsidRPr="00DA0507">
          <w:t xml:space="preserve"> 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00000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7265F0D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Sim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exp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are the simulated and literature mass loss at time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respectively.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mass-loss data used for </w:t>
      </w:r>
      <w:del w:id="9004" w:author="Claude" w:date="2026-10-09T21:46:25Z">
        <w:r>
          <w:rPr>
            <w:sz w:val="20"/>
            <w:szCs w:val="20"/>
          </w:rPr>
          <w:delText xml:space="preserve">Bayesian </w:delText>
        </w:r>
      </w:del>
      <w:r w:rsidRPr="00461D9B">
        <w:rPr>
          <w:sz w:val="20"/>
          <w:szCs w:val="20"/>
        </w:rPr>
        <w:t xml:space="preserve">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47BBFF80" w:rsidR="00DF756F" w:rsidRDefault="00DF756F" w:rsidP="00DF756F">
      <w:pPr>
        <w:pStyle w:val="BodyText"/>
        <w:keepNext/>
        <w:spacing w:before="360" w:line="240" w:lineRule="auto"/>
        <w:ind w:firstLine="0"/>
        <w:jc w:val="center"/>
        <w:rPr>
          <w:del w:id="3" w:author="Claude" w:date="2026-10-09T12:01:00Z"/>
        </w:rPr>
      </w:pPr>
    </w:p>
    <w:p w14:paraId="2F343951" w14:textId="329E8318" w:rsidR="00DF756F" w:rsidRDefault="000F4316" w:rsidP="00DF756F">
      <w:pPr>
        <w:pStyle w:val="BodyText"/>
        <w:keepNext/>
        <w:spacing w:before="360" w:line="240" w:lineRule="auto"/>
        <w:ind w:firstLine="0"/>
        <w:jc w:val="center"/>
        <w:rPr>
          <w:ins w:id="4" w:author="Claude" w:date="2026-10-09T12:01:00Z"/>
        </w:rPr>
      </w:pPr>
      <w:r>
        <w:rPr>
          <w:noProof/>
        </w:rPr>
        <w:drawing>
          <wp:inline distT="0" distB="0" distL="0" distR="0" wp14:anchorId="0617F362" wp14:editId="3CDC987F">
            <wp:extent cx="5731510" cy="2068830"/>
            <wp:effectExtent l="0" t="0" r="2540" b="7620"/>
            <wp:docPr id="42695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55605" name="Picture 4269556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5EB0BA01" w:rsidR="005F4719" w:rsidRDefault="00DF756F" w:rsidP="00DF756F">
      <w:pPr>
        <w:pStyle w:val="Captions"/>
        <w:spacing w:before="80" w:after="360"/>
        <w:rPr>
          <w:sz w:val="20"/>
          <w:szCs w:val="20"/>
        </w:rPr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 xml:space="preserve">Bayesian </w:t>
      </w:r>
      <w:del w:id="9006" w:author="Claude" w:date="2026-10-09T21:46:25Z">
        <w:r>
          <w:rPr>
            <w:sz w:val="20"/>
            <w:szCs w:val="20"/>
          </w:rPr>
          <w:delText xml:space="preserve">calibration</w:delText>
        </w:r>
      </w:del>
      <w:ins w:id="9005" w:author="Claude" w:date="2026-10-09T21:46:25Z">
        <w:r w:rsidR="003E77C2" w:rsidRPr="003E77C2">
          <w:rPr>
            <w:sz w:val="20"/>
            <w:szCs w:val="20"/>
          </w:rPr>
          <w:t xml:space="preserve">optimization</w:t>
        </w:r>
      </w:ins>
      <w:r w:rsidR="003E77C2" w:rsidRPr="003E77C2">
        <w:rPr>
          <w:sz w:val="20"/>
          <w:szCs w:val="20"/>
        </w:rPr>
        <w:t xml:space="preserve"> results: (a) simulated and literature mass loss, (b) normalized log10 parameter trajectories over the 32 evaluations (optimum at iteration 22)</w:t>
      </w:r>
      <w:r w:rsidR="000F4316">
        <w:rPr>
          <w:sz w:val="20"/>
          <w:szCs w:val="20"/>
        </w:rPr>
        <w:t>.</w:t>
      </w:r>
    </w:p>
    <w:p w14:paraId="5D3143D3" w14:textId="1A8FD6FC" w:rsidR="00644320" w:rsidRDefault="00644320" w:rsidP="00644320">
      <w:pPr>
        <w:pStyle w:val="BodyText"/>
        <w:spacing w:after="120"/>
        <w:ind w:firstLine="0"/>
      </w:pPr>
      <w:r>
        <w:t xml:space="preserve">The coarse-mesh (L2) calibration simulations are related to the fine-mesh (L6) result by a single proportionality factor over 672 h, L2 = 1.355846 × L6 (r = 0.9986; Figure </w:t>
      </w:r>
      <w:r>
        <w:t>S5</w:t>
      </w:r>
      <w:r>
        <w:t>).</w:t>
      </w:r>
    </w:p>
    <w:p w14:paraId="462337EB" w14:textId="77777777" w:rsidR="00644320" w:rsidRDefault="00644320" w:rsidP="00644320">
      <w:pPr>
        <w:pStyle w:val="BodyText"/>
        <w:spacing w:after="120"/>
        <w:ind w:firstLine="0"/>
      </w:pPr>
    </w:p>
    <w:p w14:paraId="7C02F863" w14:textId="12DDE34E" w:rsidR="00644320" w:rsidRDefault="00D56E8A" w:rsidP="0064432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iCs/>
          <w:noProof/>
          <w:sz w:val="22"/>
          <w:szCs w:val="22"/>
        </w:rPr>
        <w:drawing>
          <wp:inline distT="0" distB="0" distL="0" distR="0" wp14:anchorId="6565DC9C" wp14:editId="198336DF">
            <wp:extent cx="5731510" cy="2395220"/>
            <wp:effectExtent l="0" t="0" r="2540" b="5080"/>
            <wp:docPr id="194468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9817" name="Picture 194468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D81B" w14:textId="096BBF22" w:rsidR="00644320" w:rsidRDefault="00644320" w:rsidP="00644320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5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Mesh correction between the coarse (L2, low) and fine (L6, ultra-high) meshes. </w:t>
      </w:r>
      <w:r w:rsidR="00D56E8A">
        <w:rPr>
          <w:sz w:val="20"/>
          <w:szCs w:val="20"/>
        </w:rPr>
        <w:t>(a)</w:t>
      </w:r>
      <w:r>
        <w:rPr>
          <w:sz w:val="20"/>
          <w:szCs w:val="20"/>
        </w:rPr>
        <w:t xml:space="preserve"> mass loss versus time for the two meshes. </w:t>
      </w:r>
      <w:r w:rsidR="00D56E8A">
        <w:rPr>
          <w:sz w:val="20"/>
          <w:szCs w:val="20"/>
        </w:rPr>
        <w:t>(b)</w:t>
      </w:r>
      <w:r>
        <w:rPr>
          <w:sz w:val="20"/>
          <w:szCs w:val="20"/>
        </w:rPr>
        <w:t xml:space="preserve"> L2 versus L6 mass loss at matching times (r = 0.9986).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00000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</w:t>
      </w:r>
      <w:del w:id="9014" w:author="Claude" w:date="2026-10-09T21:46:25Z">
        <w:r>
          <w:delText xml:space="preserve">calibration</w:delText>
        </w:r>
      </w:del>
      <w:ins w:id="9013" w:author="Claude" w:date="2026-10-09T21:46:25Z">
        <w:r w:rsidRPr="00F164F0">
          <w:t xml:space="preserve">optimization</w:t>
        </w:r>
      </w:ins>
      <w:r w:rsidRPr="00F164F0">
        <w:t xml:space="preserve"> objective rather than a </w:t>
      </w:r>
      <w:del w:id="9012" w:author="Claude" w:date="2026-10-09T21:46:25Z">
        <w:r>
          <w:delText xml:space="preserve">formal</w:delText>
        </w:r>
      </w:del>
      <w:ins w:id="9011" w:author="Claude" w:date="2026-10-09T21:46:25Z">
        <w:r w:rsidRPr="00F164F0">
          <w:t xml:space="preserve">likelihood-based</w:t>
        </w:r>
      </w:ins>
      <w:r w:rsidRPr="00F164F0">
        <w:t xml:space="preserve"> parameter </w:t>
      </w:r>
      <w:del w:id="9010" w:author="Claude" w:date="2026-10-09T21:46:25Z">
        <w:r>
          <w:delText xml:space="preserve">posterior</w:delText>
        </w:r>
      </w:del>
      <w:ins w:id="9009" w:author="Claude" w:date="2026-10-09T21:46:25Z">
        <w:r w:rsidRPr="00F164F0">
          <w:t xml:space="preserve">inference</w:t>
        </w:r>
      </w:ins>
      <w:r w:rsidRPr="00F164F0">
        <w:t xml:space="preserve">, these bands are reported as parameter-propagated ensemble intervals and exclude measurement, model-form, and numerical uncertainty.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1C7874C9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 xml:space="preserve"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</w:t>
      </w:r>
      <w:del w:id="9024" w:author="Claude" w:date="2026-10-09T21:46:25Z">
        <w:r>
          <w:rPr>
            <w:sz w:val="20"/>
            <w:szCs w:val="20"/>
          </w:rPr>
          <w:delText xml:space="preserve">are</w:delText>
        </w:r>
      </w:del>
      <w:ins w:id="9023" w:author="Claude" w:date="2026-10-09T21:46:25Z">
        <w:r w:rsidRPr="00F164F0">
          <w:rPr>
            <w:sz w:val="20"/>
            <w:szCs w:val="20"/>
          </w:rPr>
          <w:t xml:space="preserve">do</w:t>
        </w:r>
      </w:ins>
      <w:r w:rsidRPr="00F164F0">
        <w:rPr>
          <w:sz w:val="20"/>
          <w:szCs w:val="20"/>
        </w:rPr>
        <w:t xml:space="preserve"> not </w:t>
      </w:r>
      <w:del w:id="9022" w:author="Claude" w:date="2026-10-09T21:46:25Z">
        <w:r>
          <w:rPr>
            <w:sz w:val="20"/>
            <w:szCs w:val="20"/>
          </w:rPr>
          <w:delText xml:space="preserve">Bayesian</w:delText>
        </w:r>
      </w:del>
      <w:ins w:id="9021" w:author="Claude" w:date="2026-10-09T21:46:25Z">
        <w:r w:rsidRPr="00F164F0">
          <w:rPr>
            <w:sz w:val="20"/>
            <w:szCs w:val="20"/>
          </w:rPr>
          <w:t xml:space="preserve">include</w:t>
        </w:r>
      </w:ins>
      <w:r w:rsidRPr="00F164F0">
        <w:rPr>
          <w:sz w:val="20"/>
          <w:szCs w:val="20"/>
        </w:rPr>
        <w:t xml:space="preserve"> </w:t>
      </w:r>
      <w:del w:id="9020" w:author="Claude" w:date="2026-10-09T21:46:25Z">
        <w:r>
          <w:rPr>
            <w:sz w:val="20"/>
            <w:szCs w:val="20"/>
          </w:rPr>
          <w:delText xml:space="preserve">credible</w:delText>
        </w:r>
      </w:del>
      <w:ins w:id="9019" w:author="Claude" w:date="2026-10-09T21:46:25Z">
        <w:r w:rsidRPr="00F164F0">
          <w:rPr>
            <w:sz w:val="20"/>
            <w:szCs w:val="20"/>
          </w:rPr>
          <w:t xml:space="preserve">measurement, model-form</w:t>
        </w:r>
      </w:ins>
      <w:r w:rsidRPr="00F164F0">
        <w:rPr>
          <w:sz w:val="20"/>
          <w:szCs w:val="20"/>
        </w:rPr>
        <w:t xml:space="preserve"> or </w:t>
      </w:r>
      <w:del w:id="9018" w:author="Claude" w:date="2026-10-09T21:46:25Z">
        <w:r>
          <w:rPr>
            <w:sz w:val="20"/>
            <w:szCs w:val="20"/>
          </w:rPr>
          <w:delText xml:space="preserve">predictive</w:delText>
        </w:r>
      </w:del>
      <w:ins w:id="9017" w:author="Claude" w:date="2026-10-09T21:46:25Z">
        <w:r w:rsidRPr="00F164F0">
          <w:rPr>
            <w:sz w:val="20"/>
            <w:szCs w:val="20"/>
          </w:rPr>
          <w:t xml:space="preserve">numerical</w:t>
        </w:r>
      </w:ins>
      <w:r w:rsidRPr="00F164F0">
        <w:rPr>
          <w:sz w:val="20"/>
          <w:szCs w:val="20"/>
        </w:rPr>
        <w:t xml:space="preserve"> </w:t>
      </w:r>
      <w:del w:id="9016" w:author="Claude" w:date="2026-10-09T21:46:25Z">
        <w:r>
          <w:rPr>
            <w:sz w:val="20"/>
            <w:szCs w:val="20"/>
          </w:rPr>
          <w:delText xml:space="preserve">intervals</w:delText>
        </w:r>
      </w:del>
      <w:ins w:id="9015" w:author="Claude" w:date="2026-10-09T21:46:25Z">
        <w:r w:rsidRPr="00F164F0">
          <w:rPr>
            <w:sz w:val="20"/>
            <w:szCs w:val="20"/>
          </w:rPr>
          <w:t xml:space="preserve">uncertainty</w:t>
        </w:r>
      </w:ins>
      <w:r w:rsidRPr="00F164F0">
        <w:rPr>
          <w:sz w:val="20"/>
          <w:szCs w:val="20"/>
        </w:rPr>
        <w:t xml:space="preserve">.</w:t>
      </w:r>
    </w:p>
    <w:p w14:paraId="04BC8270" w14:textId="2AFFA191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="00341DFC">
        <w:rPr>
          <w:sz w:val="20"/>
          <w:szCs w:val="20"/>
        </w:rPr>
        <w:t>i</w:t>
      </w:r>
      <w:r w:rsidRPr="002A0AFD">
        <w:rPr>
          <w:sz w:val="20"/>
          <w:szCs w:val="20"/>
        </w:rPr>
        <w:t>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316C26F5" w14:textId="77777777" w:rsidR="00341DFC" w:rsidRDefault="00341DFC" w:rsidP="00341DFC">
      <w:pPr>
        <w:pStyle w:val="BodyText"/>
      </w:pPr>
    </w:p>
    <w:p w14:paraId="7E9636DC" w14:textId="2BE5FEC9" w:rsidR="0021293D" w:rsidRDefault="0021293D" w:rsidP="0021293D">
      <w:pPr>
        <w:pStyle w:val="Heading1"/>
      </w:pPr>
      <w:r>
        <w:t>S7. Case-study results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128C6D8B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6B02AA2C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52E7371" w:rsidR="00496CE8" w:rsidRDefault="00552E50" w:rsidP="00876655">
      <w:pPr>
        <w:pStyle w:val="Captions"/>
        <w:spacing w:before="80" w:after="360"/>
        <w:rPr>
          <w:sz w:val="20"/>
          <w:szCs w:val="2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6CD070E5" w14:textId="4C8BB2F1" w:rsidR="00D56E8A" w:rsidRDefault="00D56E8A" w:rsidP="00D56E8A">
      <w:pPr>
        <w:pStyle w:val="BodyText"/>
        <w:spacing w:after="120"/>
        <w:ind w:firstLine="0"/>
      </w:pPr>
      <w:r w:rsidRPr="00D56E8A">
        <w:t>Because the computational domain (27 mL) was smaller than the experimental volume (44 mL), oxygen-availability sensitivity was assessed by varying oxygen-replenishing boundaries and initial dissolved-oxygen concentration (Figure S10). Mass loss was controlled primarily by oxygen supply rather than domain volume, increasing from 0.16% to 0.81% as the initial oxygen concentration increased, while different replenishment boundaries produced only minor differences (0.40-0.43% at 672 h). The no-flux and all-faces cases differed by approximately eightfold in mass loss, highlighting the strong influence of oxygen availability.</w:t>
      </w:r>
    </w:p>
    <w:p w14:paraId="1387E992" w14:textId="77777777" w:rsidR="00D56E8A" w:rsidRDefault="00D56E8A" w:rsidP="00D56E8A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C8B8CD1" wp14:editId="30A5F3FC">
            <wp:extent cx="5731510" cy="2093921"/>
            <wp:effectExtent l="0" t="0" r="2540" b="0"/>
            <wp:docPr id="9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3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D141" w14:textId="2C3043C2" w:rsidR="00D56E8A" w:rsidRPr="00876655" w:rsidRDefault="00D56E8A" w:rsidP="00D56E8A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Effect of oxygen supply on predicted mass loss. (a) Mass loss for the disc with no oxygen-replenishing boundary (None), replenishment through the top and bottom faces, the side faces, or all faces, (b) mass loss for initial dissolved-oxygen concentrations of 1.5, 3.5, 5.5 and 7.5 × 10⁻⁹ g mm⁻³.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333DC" w14:textId="77777777" w:rsidR="00285113" w:rsidRDefault="00285113">
      <w:pPr>
        <w:spacing w:line="240" w:lineRule="auto"/>
      </w:pPr>
      <w:r>
        <w:separator/>
      </w:r>
    </w:p>
  </w:endnote>
  <w:endnote w:type="continuationSeparator" w:id="0">
    <w:p w14:paraId="380C3332" w14:textId="77777777" w:rsidR="00285113" w:rsidRDefault="002851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941CA" w14:textId="77777777" w:rsidR="00285113" w:rsidRDefault="00285113">
      <w:pPr>
        <w:spacing w:line="240" w:lineRule="auto"/>
      </w:pPr>
      <w:r>
        <w:separator/>
      </w:r>
    </w:p>
  </w:footnote>
  <w:footnote w:type="continuationSeparator" w:id="0">
    <w:p w14:paraId="53319B1E" w14:textId="77777777" w:rsidR="00285113" w:rsidRDefault="002851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214916">
    <w:abstractNumId w:val="0"/>
  </w:num>
  <w:num w:numId="2" w16cid:durableId="541985940">
    <w:abstractNumId w:val="5"/>
  </w:num>
  <w:num w:numId="3" w16cid:durableId="1241868294">
    <w:abstractNumId w:val="2"/>
  </w:num>
  <w:num w:numId="4" w16cid:durableId="1240556728">
    <w:abstractNumId w:val="1"/>
  </w:num>
  <w:num w:numId="5" w16cid:durableId="1723287479">
    <w:abstractNumId w:val="3"/>
  </w:num>
  <w:num w:numId="6" w16cid:durableId="145829900">
    <w:abstractNumId w:val="6"/>
  </w:num>
  <w:num w:numId="7" w16cid:durableId="1627930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0F4316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C3854"/>
    <w:rsid w:val="001D3A0A"/>
    <w:rsid w:val="001E445B"/>
    <w:rsid w:val="001F71E2"/>
    <w:rsid w:val="0021293D"/>
    <w:rsid w:val="00212BA4"/>
    <w:rsid w:val="002536C8"/>
    <w:rsid w:val="002544FE"/>
    <w:rsid w:val="00257809"/>
    <w:rsid w:val="002634AA"/>
    <w:rsid w:val="00263E3F"/>
    <w:rsid w:val="00285113"/>
    <w:rsid w:val="00286A31"/>
    <w:rsid w:val="002874E3"/>
    <w:rsid w:val="002955EE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41DFC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A311D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36D30"/>
    <w:rsid w:val="006420AD"/>
    <w:rsid w:val="00644320"/>
    <w:rsid w:val="00670A5B"/>
    <w:rsid w:val="006A523B"/>
    <w:rsid w:val="006B3F58"/>
    <w:rsid w:val="006B6A1E"/>
    <w:rsid w:val="006B7148"/>
    <w:rsid w:val="006D5290"/>
    <w:rsid w:val="006D579C"/>
    <w:rsid w:val="006E5AA4"/>
    <w:rsid w:val="006F2529"/>
    <w:rsid w:val="007125DF"/>
    <w:rsid w:val="007163D0"/>
    <w:rsid w:val="00743306"/>
    <w:rsid w:val="00762CF8"/>
    <w:rsid w:val="007630D0"/>
    <w:rsid w:val="00770A7E"/>
    <w:rsid w:val="00772BA4"/>
    <w:rsid w:val="00785162"/>
    <w:rsid w:val="0079244B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0BD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56E8A"/>
    <w:rsid w:val="00D607D1"/>
    <w:rsid w:val="00D664E5"/>
    <w:rsid w:val="00D80D58"/>
    <w:rsid w:val="00D81273"/>
    <w:rsid w:val="00D81AA4"/>
    <w:rsid w:val="00D860BF"/>
    <w:rsid w:val="00D863B0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3DA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3193</TotalTime>
  <Pages>17</Pages>
  <Words>2985</Words>
  <Characters>17021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131</cp:revision>
  <cp:lastPrinted>2026-09-27T22:37:00Z</cp:lastPrinted>
  <dcterms:created xsi:type="dcterms:W3CDTF">2026-09-27T22:41:00Z</dcterms:created>
  <dcterms:modified xsi:type="dcterms:W3CDTF">2026-10-09T21:28:00Z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