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a baseline of k_f = 35, k_d = 27 and k_ORR = 0.5, with sweeps of k_ORR = 0.1, 0.5 and 2.5. At 168 h, the ORR ceilings for these values are 0.15, 0.75 and 3.75%,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calibration (r-SBF, Tris-buffered, 14 days) and validation (HBSS, 28 days) media differ chemically, which contributes to the difference in RMSE. The calibration data also show rapid mass loss towards the end of the 336 h period. The authors attribute this to localized corrosion, but cleaning inaccuracies and complex corrosion-product formation may contribute as well. The model does not represent these effects, and this is acknowledged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With the final calibration the two errors are comparable: the calibration RMSE is 0.0173% (Fig. 3b, Table 2) and the validation RMSE is 0.0159%, so the validation error is not unusually low. The earlier gap (0.042% vs 0.0159%) arose from an earlier calibration that also scored non-mass-loss targets. The remaining small difference is expected. The calibration data (Liu et al.) were measured in r-SBF, which has more complex chemistry (extra ions, Tris buffer, more precipitation), whereas the validation data were measured in Ca/Mg-free HBSS, which is simpler and closer to the single effective ZnO phase assumed by the model. The two RMSE values are also not directly comparable, because the validation error is small relative to the experimental scatter (SD = 0.115% at 28 days, n = 3), so the validation cannot discriminate between parameter sets that differ by less than this scatter.</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final BO was rerun with all three phases scored on mass loss only (two independent repeats, 28 evaluations each: 12-point Latin hypercube, 8 expected-improvement and 8 local points), so the earlier 0.046% / 0.042% comparison no longer applies (Fig. 3b, Table S10). The best RMSE is 0.0173% (repeat 1, iteration 25, local phase) and 0.0178% (repeat 2, iteration 20, EI phase). Neither optimum is a Latin-hypercube point: the best Phase 1 values are 0.0192% (repeat 1) and 0.0240% (repeat 2), so the guided phases improve RMSE by 10% and 26%. The flat landscape is a result, not a convergence failure. All points within 1.5× the best RMSE (25 of 56) have k_ORR confined to 0.15–0.19, while k_f spans 2.2–96 and k_d 0.6–93. Mass loss therefore constrains k_ORR but not k_f or k_d individually (Results, Section 3.3). The two repeats agree on k_ORR (0.161 vs 0.156), and their best RMSEs differ by 3%, far below the experimental scatter (SD = 0.115% at 28 days). Selecting the repeat 1 optimum for Table 2 is therefore immaterial for the predictions.</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The sensitivity analysis (Fig. 3a) and the optimization (Fig. 3b; parameter trajectories in Supplementary Fig. 6b) already characterize the parameter behavior, so a separate profile likelihood or posterior is not needed. Among the 25 evaluations within 1.5× the best RMSE (both repeats), k_ORR is tightly constrained (0.15–0.19), whereas k_f (2.2–96) and k_d (0.6–93) span more than one decade each. The Spearman rank correlations (log10 values) are weak between k_f and k_d (0.11) and moderate between k_d and k_ORR (−0.50), so k_f and k_d are unconstrained rather than degenerate through their ratio. Only k_ORR is therefore reported as identified; k_f and k_d are treated as effective parameters whose individual values are not interpreted. The predictions are insensitive to this, because all near-optimal points reproduce the 0–336 h mass loss.</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targeted the parameters that are uncertain and enter the calibration (kinetic constants, O₂ concentration and diffusivities; ranges in Table S5). ε and τ were fixed because they are not readily available from the literature or experiments, so literature-based estimates were used. F_max was not an independent parameter: it was calculated from the Langmuir saturation formulation given in the manuscript (F_max = ρ_film(1 − ε)). [Zn]_sat was taken from the literature, with the reference listed in the manuscript. The role of the corrosion-product mechanism was assessed separately: removing corrosion-product formation entirely raises the 672 h mass loss from 0.33% to 0.74% (A2.2), and the k_f and k_d sweeps (Fig. 4) show its effect on mass loss, saturation and interfacial O₂. Because ε and τ are fixed estimates, the absolute corrosion-product transport resistance is uncertain, which is stated in the Limitations.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modelling premise (Eqs. 1–2), built on experimentally observed oxygen control of Zn degradation, so the Morris ranking alone does not show that oxygen controls degradation; it only shows how the model responds to O₂. The test that the model captures this behaviour is therefore not the sensitivity ranking but its agreement with data not used in calibration: the 28-day immersion data (RMSE = 0.0159%) and the stent prediction (about 6%). These results show that the oxygen-controlled formulation reproduces the measured mass loss. The model also allows a reaction-limited stage (v_n is the limiting of three velocities), so oxygen control is not forced at all times. This supports the assumption within the tested conditions but does not prove oxygen control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 The near-linear dependence of mass loss on SA:V is expected and is reported in the literature, so a similar or higher SA:V-scaled value is not evidence against the model. The model's added value is that transport control reduces the overall stent mass loss only moderately relative to this scaling (6.0% vs 12.8%) but changes where material is lost strongly: recession is concentrated on the oxygen-accessible outer surface and suppressed in the confined regions (Figs. 7–8), which SA:V scaling cannot capture.</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spatial distribution of degradation is the main added value of the model. It is shown by the individual simulations (Figs. 7 and 8), each compared with its baseline: the six-crown stent against the disc (Fig. 6) and the curved and spaced structures against the straight, widely spaced reference (Fig. 8). The baseline comparisons show that global mass loss changes only modestly, whereas the spatial distribution of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 The reference list now also cites the Yang et al. study, which supplied the in vivo mass-loss comparison, in addition to the review.</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Eq. 11 text now defines F_max on this mass basis, and Table 2 and Table S5 now give k_d in L² mol⁻² h⁻¹.</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evaluation on 4 cores), corrected to the fine mesh with a linear bias correction (Pearson r = 0.9986).</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interface mesh size is 5 µm, comparable to the 3–8 µm recession (about one element). Mass loss and mean penetration are mesh-converged (&lt;1%, Section S2), but sub-element roughness in the local profiles is at the discretisation scale and is not interpreted physically. The conclusions rest on integrated depths and on outer/inner differences of several µm. Table S4 now gives the stent minimum element size as 0.005 mm.</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giving 0.39% at 168 h against about 0.19% in Fig. 5a. Fig. 4 has been recomputed around k_f = 35, k_d = 27 and k_ORR = 0.5 (middle curves); the baseline now gives 0.20% at 168 h, matching Fig. 5a. Each parameter is varied above and below this baseline (k_f = 5–150, k_d = 5–120, k_ORR = 0.1–2.5) with the others held fixed.</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The 13.2× has a very small denominator (0.28 µm, below the interface mesh size), so it is poorly constrained; the absolute differences are similar (3.4 µm for the arc, 3.8 µm for the crown).</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The Code Availability statement has been removed, and a Data Availability Statement (Zenodo repository, DOI 10.5281/zenodo.23053517) is now included in the manuscript.</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