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14:paraId="555859E8" w14:textId="77777777" w:rsidR="003F785C" w:rsidRDefault="00E9439A">
            <w:r>
              <w:rPr>
                <w:color w:val="000000"/>
                <w:sz w:val="20"/>
              </w:rPr>
              <w:t xml:space="preserve">We agree that the mass-loss response to variations in k_f is comparatively modest. This behaviour is consistent with the global sensitivity analysis presented in Figure 3a, </w:t>
            </w:r>
            <w:r>
              <w:rPr>
                <w:color w:val="000000"/>
                <w:sz w:val="20"/>
              </w:rPr>
              <w:t xml:space="preserve">which identifies dissolved oxygen availability as the dominant control on degradation and ranks k_f below C_O₂,0, k_ORR, k_d and D_O₂. The local parameter sweeps in Figure 4 further show that k_ORR produces a substantially stronger mass-loss response than </w:t>
            </w:r>
            <w:r>
              <w:rPr>
                <w:color w:val="000000"/>
                <w:sz w:val="20"/>
              </w:rPr>
              <w:t>k_f. Thus, the limited sensitivity to k_f is already interpreted as evidence that film-formation kinetics exert a secondary influence on overall mass loss relative to oxygen consumption and transport.</w:t>
            </w:r>
          </w:p>
        </w:tc>
        <w:tc>
          <w:tcPr>
            <w:tcW w:w="1587" w:type="dxa"/>
          </w:tcPr>
          <w:p w14:paraId="397E09AD" w14:textId="77777777" w:rsidR="003F785C" w:rsidRDefault="00E9439A">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14:paraId="62FCDDE9" w14:textId="77777777" w:rsidR="003F785C" w:rsidRDefault="00E9439A">
            <w:r>
              <w:rPr>
                <w:i/>
                <w:color w:val="808080"/>
                <w:sz w:val="20"/>
              </w:rPr>
              <w:lastRenderedPageBreak/>
              <w:t>[To be completed]</w:t>
            </w:r>
          </w:p>
        </w:tc>
        <w:tc>
          <w:tcPr>
            <w:tcW w:w="1587" w:type="dxa"/>
          </w:tcPr>
          <w:p w14:paraId="19DA1667" w14:textId="77777777" w:rsidR="003F785C" w:rsidRDefault="00E9439A">
            <w:r>
              <w:rPr>
                <w:sz w:val="20"/>
              </w:rPr>
              <w:t>Open</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14:paraId="190A51D8" w14:textId="77777777" w:rsidR="003F785C" w:rsidRDefault="00E9439A">
            <w:r>
              <w:rPr>
                <w:i/>
                <w:color w:val="808080"/>
                <w:sz w:val="20"/>
              </w:rPr>
              <w:t>[To be completed]</w:t>
            </w:r>
          </w:p>
        </w:tc>
        <w:tc>
          <w:tcPr>
            <w:tcW w:w="1587" w:type="dxa"/>
          </w:tcPr>
          <w:p w14:paraId="3BF29AAB" w14:textId="77777777" w:rsidR="003F785C" w:rsidRDefault="00E9439A">
            <w:r>
              <w:rPr>
                <w:sz w:val="20"/>
              </w:rPr>
              <w:t>Open</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14:paraId="3E1896CC" w14:textId="77777777" w:rsidR="003F785C" w:rsidRDefault="00E9439A">
            <w:r>
              <w:rPr>
                <w:i/>
                <w:color w:val="808080"/>
                <w:sz w:val="20"/>
              </w:rPr>
              <w:t>[To be completed]</w:t>
            </w:r>
          </w:p>
        </w:tc>
        <w:tc>
          <w:tcPr>
            <w:tcW w:w="1587" w:type="dxa"/>
          </w:tcPr>
          <w:p w14:paraId="505DE66D" w14:textId="77777777" w:rsidR="003F785C" w:rsidRDefault="00E9439A">
            <w:r>
              <w:rPr>
                <w:sz w:val="20"/>
              </w:rPr>
              <w:t>Open</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