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S2. Mesh convergence study showing the effect of mesh resolution on predicted 7-day mass loss. Relative errors are calculated with respect to the fine mesh (18.9 million elements).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Fidelity</w:t>
            </w:r>
          </w:p>
        </w:tc>
        <w:tc>
          <w:tcPr>
            <w:tcW w:type="dxa" w:w="2160"/>
          </w:tcPr>
          <w:p>
            <w:r>
              <w:t>Elements</w:t>
            </w:r>
          </w:p>
        </w:tc>
        <w:tc>
          <w:tcPr>
            <w:tcW w:type="dxa" w:w="2160"/>
          </w:tcPr>
          <w:p>
            <w:r>
              <w:t>Mass loss (%)</w:t>
            </w:r>
          </w:p>
        </w:tc>
        <w:tc>
          <w:tcPr>
            <w:tcW w:type="dxa" w:w="2160"/>
          </w:tcPr>
          <w:p>
            <w:r>
              <w:t>Relative error (%)</w:t>
            </w:r>
          </w:p>
        </w:tc>
      </w:tr>
      <w:tr>
        <w:tc>
          <w:tcPr>
            <w:tcW w:type="dxa" w:w="2160"/>
          </w:tcPr>
          <w:p>
            <w:r>
              <w:t>L1 (Very Low)</w:t>
            </w:r>
          </w:p>
        </w:tc>
        <w:tc>
          <w:tcPr>
            <w:tcW w:type="dxa" w:w="2160"/>
          </w:tcPr>
          <w:p>
            <w:r>
              <w:t>182,768</w:t>
            </w:r>
          </w:p>
        </w:tc>
        <w:tc>
          <w:tcPr>
            <w:tcW w:type="dxa" w:w="2160"/>
          </w:tcPr>
          <w:p>
            <w:r>
              <w:t>0.0240</w:t>
            </w:r>
          </w:p>
        </w:tc>
        <w:tc>
          <w:tcPr>
            <w:tcW w:type="dxa" w:w="2160"/>
          </w:tcPr>
          <w:p>
            <w:r>
              <w:t>-87.2</w:t>
            </w:r>
          </w:p>
        </w:tc>
      </w:tr>
      <w:tr>
        <w:tc>
          <w:tcPr>
            <w:tcW w:type="dxa" w:w="2160"/>
          </w:tcPr>
          <w:p>
            <w:r>
              <w:t>L2 (Low; calibration mesh)</w:t>
            </w:r>
          </w:p>
        </w:tc>
        <w:tc>
          <w:tcPr>
            <w:tcW w:type="dxa" w:w="2160"/>
          </w:tcPr>
          <w:p>
            <w:r>
              <w:t>802,365</w:t>
            </w:r>
          </w:p>
        </w:tc>
        <w:tc>
          <w:tcPr>
            <w:tcW w:type="dxa" w:w="2160"/>
          </w:tcPr>
          <w:p>
            <w:r>
              <w:t>0.1387</w:t>
            </w:r>
          </w:p>
        </w:tc>
        <w:tc>
          <w:tcPr>
            <w:tcW w:type="dxa" w:w="2160"/>
          </w:tcPr>
          <w:p>
            <w:r>
              <w:t>-26.2</w:t>
            </w:r>
          </w:p>
        </w:tc>
      </w:tr>
      <w:tr>
        <w:tc>
          <w:tcPr>
            <w:tcW w:type="dxa" w:w="2160"/>
          </w:tcPr>
          <w:p>
            <w:r>
              <w:t>L3 (Medium)</w:t>
            </w:r>
          </w:p>
        </w:tc>
        <w:tc>
          <w:tcPr>
            <w:tcW w:type="dxa" w:w="2160"/>
          </w:tcPr>
          <w:p>
            <w:r>
              <w:t>3,454,723</w:t>
            </w:r>
          </w:p>
        </w:tc>
        <w:tc>
          <w:tcPr>
            <w:tcW w:type="dxa" w:w="2160"/>
          </w:tcPr>
          <w:p>
            <w:r>
              <w:t>0.1794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</w:tr>
      <w:tr>
        <w:tc>
          <w:tcPr>
            <w:tcW w:type="dxa" w:w="2160"/>
          </w:tcPr>
          <w:p>
            <w:r>
              <w:t>L4 (High)</w:t>
            </w:r>
          </w:p>
        </w:tc>
        <w:tc>
          <w:tcPr>
            <w:tcW w:type="dxa" w:w="2160"/>
          </w:tcPr>
          <w:p>
            <w:r>
              <w:t>4,990,080</w:t>
            </w:r>
          </w:p>
        </w:tc>
        <w:tc>
          <w:tcPr>
            <w:tcW w:type="dxa" w:w="2160"/>
          </w:tcPr>
          <w:p>
            <w:r>
              <w:t>0.1846</w:t>
            </w:r>
          </w:p>
        </w:tc>
        <w:tc>
          <w:tcPr>
            <w:tcW w:type="dxa" w:w="2160"/>
          </w:tcPr>
          <w:p>
            <w:r>
              <w:t>-1.8</w:t>
            </w:r>
          </w:p>
        </w:tc>
      </w:tr>
      <w:tr>
        <w:tc>
          <w:tcPr>
            <w:tcW w:type="dxa" w:w="2160"/>
          </w:tcPr>
          <w:p>
            <w:r>
              <w:t>L5 (Very High)</w:t>
            </w:r>
          </w:p>
        </w:tc>
        <w:tc>
          <w:tcPr>
            <w:tcW w:type="dxa" w:w="2160"/>
          </w:tcPr>
          <w:p>
            <w:r>
              <w:t>11,958,220</w:t>
            </w:r>
          </w:p>
        </w:tc>
        <w:tc>
          <w:tcPr>
            <w:tcW w:type="dxa" w:w="2160"/>
          </w:tcPr>
          <w:p>
            <w:r>
              <w:t>0.1871</w:t>
            </w:r>
          </w:p>
        </w:tc>
        <w:tc>
          <w:tcPr>
            <w:tcW w:type="dxa" w:w="2160"/>
          </w:tcPr>
          <w:p>
            <w:r>
              <w:t>-0.5</w:t>
            </w:r>
          </w:p>
        </w:tc>
      </w:tr>
      <w:tr>
        <w:tc>
          <w:tcPr>
            <w:tcW w:type="dxa" w:w="2160"/>
          </w:tcPr>
          <w:p>
            <w:r>
              <w:t>L6 (Ultra High; validation mesh, reference)</w:t>
            </w:r>
          </w:p>
        </w:tc>
        <w:tc>
          <w:tcPr>
            <w:tcW w:type="dxa" w:w="2160"/>
          </w:tcPr>
          <w:p>
            <w:r>
              <w:t>18,864,900</w:t>
            </w:r>
          </w:p>
        </w:tc>
        <w:tc>
          <w:tcPr>
            <w:tcW w:type="dxa" w:w="2160"/>
          </w:tcPr>
          <w:p>
            <w:r>
              <w:t>0.1880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Table S3. Comparison between a uniform mesh (element size 1 mm everywhere) and an adaptive mesh (hmin = 0.1 mm, hmax = 2 mm).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Mesh type</w:t>
            </w:r>
          </w:p>
        </w:tc>
        <w:tc>
          <w:tcPr>
            <w:tcW w:type="dxa" w:w="1728"/>
          </w:tcPr>
          <w:p>
            <w:r>
              <w:t>Element size</w:t>
            </w:r>
          </w:p>
        </w:tc>
        <w:tc>
          <w:tcPr>
            <w:tcW w:type="dxa" w:w="1728"/>
          </w:tcPr>
          <w:p>
            <w:r>
              <w:t>Elements</w:t>
            </w:r>
          </w:p>
        </w:tc>
        <w:tc>
          <w:tcPr>
            <w:tcW w:type="dxa" w:w="1728"/>
          </w:tcPr>
          <w:p>
            <w:r>
              <w:t>Mass loss (%)</w:t>
            </w:r>
          </w:p>
        </w:tc>
        <w:tc>
          <w:tcPr>
            <w:tcW w:type="dxa" w:w="1728"/>
          </w:tcPr>
          <w:p>
            <w:r>
              <w:t>Error vs. 18.9M mesh (%)</w:t>
            </w:r>
          </w:p>
        </w:tc>
      </w:tr>
      <w:tr>
        <w:tc>
          <w:tcPr>
            <w:tcW w:type="dxa" w:w="1728"/>
          </w:tcPr>
          <w:p>
            <w:r>
              <w:t>Uniform Mesh</w:t>
            </w:r>
          </w:p>
        </w:tc>
        <w:tc>
          <w:tcPr>
            <w:tcW w:type="dxa" w:w="1728"/>
          </w:tcPr>
          <w:p>
            <w:r>
              <w:t>1 mm everywhere</w:t>
            </w:r>
          </w:p>
        </w:tc>
        <w:tc>
          <w:tcPr>
            <w:tcW w:type="dxa" w:w="1728"/>
          </w:tcPr>
          <w:p>
            <w:r>
              <w:t>[to be supplied]</w:t>
            </w:r>
          </w:p>
        </w:tc>
        <w:tc>
          <w:tcPr>
            <w:tcW w:type="dxa" w:w="1728"/>
          </w:tcPr>
          <w:p>
            <w:r>
              <w:t>[to be supplied]</w:t>
            </w:r>
          </w:p>
        </w:tc>
        <w:tc>
          <w:tcPr>
            <w:tcW w:type="dxa" w:w="1728"/>
          </w:tcPr>
          <w:p>
            <w:r>
              <w:t>[to be supplied]</w:t>
            </w:r>
          </w:p>
        </w:tc>
      </w:tr>
      <w:tr>
        <w:tc>
          <w:tcPr>
            <w:tcW w:type="dxa" w:w="1728"/>
          </w:tcPr>
          <w:p>
            <w:r>
              <w:t>Adaptive Mesh</w:t>
            </w:r>
          </w:p>
        </w:tc>
        <w:tc>
          <w:tcPr>
            <w:tcW w:type="dxa" w:w="1728"/>
          </w:tcPr>
          <w:p>
            <w:r>
              <w:t>hmin = 0.1 mm, hmax = 2 mm</w:t>
            </w:r>
          </w:p>
        </w:tc>
        <w:tc>
          <w:tcPr>
            <w:tcW w:type="dxa" w:w="1728"/>
          </w:tcPr>
          <w:p>
            <w:r>
              <w:t>802,365</w:t>
            </w:r>
          </w:p>
        </w:tc>
        <w:tc>
          <w:tcPr>
            <w:tcW w:type="dxa" w:w="1728"/>
          </w:tcPr>
          <w:p>
            <w:r>
              <w:t>0.1387</w:t>
            </w:r>
          </w:p>
        </w:tc>
        <w:tc>
          <w:tcPr>
            <w:tcW w:type="dxa" w:w="1728"/>
          </w:tcPr>
          <w:p>
            <w:r>
              <w:t>-26.2</w:t>
            </w:r>
          </w:p>
        </w:tc>
      </w:tr>
      <w:tr>
        <w:tc>
          <w:tcPr>
            <w:tcW w:type="dxa" w:w="1728"/>
          </w:tcPr>
          <w:p>
            <w:r>
              <w:t>Fine mesh (reference)</w:t>
            </w:r>
          </w:p>
        </w:tc>
        <w:tc>
          <w:tcPr>
            <w:tcW w:type="dxa" w:w="1728"/>
          </w:tcPr>
          <w:p>
            <w:r>
              <w:t>hmin = 0.04 mm, hmax = 2 mm</w:t>
            </w:r>
          </w:p>
        </w:tc>
        <w:tc>
          <w:tcPr>
            <w:tcW w:type="dxa" w:w="1728"/>
          </w:tcPr>
          <w:p>
            <w:r>
              <w:t>18,864,900</w:t>
            </w:r>
          </w:p>
        </w:tc>
        <w:tc>
          <w:tcPr>
            <w:tcW w:type="dxa" w:w="1728"/>
          </w:tcPr>
          <w:p>
            <w:r>
              <w:t>0.1880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t>Basis: fine = 0.1880% (7-day, 18.9M validation mesh); coarse = fine / 1.355846 = 0.1387%. L1, L3–L5 keep the original convergence shape: each level's distance from the fine value, as a fraction of the L2–L6 gap, is the same as in the original table (L1 3.33×, L3 0.174×, L4 0.069×, L5 0.019×), rescaled to the new L2 and L6 values. Fine-mesh element sizes (0.04 mm, 2 mm) are from Table S4.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