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further local points chosen on the same mass-loss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0.0173%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The best points were found at iterations 25 and 20, in the local and expected-improvement phases, respectively. The calibrated k_ORR was consistent between repeats (0.161 and 0.156 mm h⁻¹), whereas k_f and k_d differed (2.75 and 5.80 h⁻¹; 5.19 and 18.6 L² mol⁻² h⁻¹) and were not individually identifiable. The adopted values</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are listed.</w:t>
      </w:r>
      <w:r w:rsidR="00215165" w:rsidRPr="001A2EB4"/>
      <w:r w:rsidR="00B31A12" w:rsidRPr="001A2EB4">
        <w:t xml:space="preserve">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