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Table S11; Figure S7</w:t>
            </w:r>
          </w:p>
        </w:tc>
      </w:tr>
      <w:tr>
        <w:trPr>
          <w:cantSplit/>
        </w:trPr>
        <w:tc>
          <w:tcPr>
            <w:tcW w:w="1000" w:type="dxa"/>
            <w:vAlign w:val="center"/>
          </w:tcPr>
          <w:p>
            <w:pPr>
              <w:keepNext w:val="0"/>
              <w:spacing w:before="20" w:after="20" w:line="240" w:lineRule="auto"/>
              <w:ind w:firstLine="0"/>
              <w:jc w:val="left"/>
            </w:pPr>
            <w:r>
              <w:rPr>
                <w:sz w:val="20"/>
                <w:szCs w:val="20"/>
              </w:rPr>
              <w:t>S7</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Table S12; Figures S8–S10</w:t>
            </w:r>
          </w:p>
        </w:tc>
      </w:tr>
      <w:tr>
        <w:trPr>
          <w:cantSplit/>
        </w:trPr>
        <w:tc>
          <w:tcPr>
            <w:tcW w:w="1000" w:type="dxa"/>
            <w:vAlign w:val="center"/>
          </w:tcPr>
          <w:p>
            <w:pPr>
              <w:keepNext w:val="0"/>
              <w:spacing w:before="20" w:after="20" w:line="240" w:lineRule="auto"/>
              <w:ind w:firstLine="0"/>
              <w:jc w:val="left"/>
            </w:pPr>
            <w:r>
              <w:rPr>
                <w:sz w:val="20"/>
                <w:szCs w:val="20"/>
              </w:rPr>
              <w:t>S8</w:t>
            </w:r>
          </w:p>
        </w:tc>
        <w:tc>
          <w:tcPr>
            <w:tcW w:w="4200" w:type="dxa"/>
            <w:vAlign w:val="center"/>
          </w:tcPr>
          <w:p>
            <w:pPr>
              <w:keepNext w:val="0"/>
              <w:spacing w:before="20" w:after="20" w:line="240" w:lineRule="auto"/>
              <w:ind w:firstLine="0"/>
              <w:jc w:val="left"/>
            </w:pPr>
            <w:r>
              <w:rPr>
                <w:sz w:val="20"/>
                <w:szCs w:val="20"/>
              </w:rPr>
              <w:t>Oxygen mass balance</w:t>
            </w:r>
          </w:p>
        </w:tc>
        <w:tc>
          <w:tcPr>
            <w:tcW w:w="3826" w:type="dxa"/>
            <w:vAlign w:val="center"/>
          </w:tcPr>
          <w:p>
            <w:pPr>
              <w:keepNext w:val="0"/>
              <w:spacing w:before="20" w:after="20" w:line="240" w:lineRule="auto"/>
              <w:ind w:firstLine="0"/>
              <w:jc w:val="left"/>
            </w:pPr>
            <w:r>
              <w:rPr>
                <w:sz w:val="20"/>
                <w:szCs w:val="20"/>
              </w:rPr>
              <w:t>Table S13</w:t>
            </w:r>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an adaptive mesh with a uniform mesh. Because the uniform mesh has the same 1 mm size everywhere, it places far fewer elements at the Zn-electrolyte interface (1 mm vs 0.1 mm) and under-resolves the oxygen gradient and the receding surface. It therefore has a larger error than the adaptive mesh even with fewer elements, which is why adaptive refinement at the interface was used.</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fine mesh (18.9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S2. Mesh convergence study showing the effect of mesh resolution on predicted 7-day mass loss. Relative errors are calculated with respect to the fine mesh (18.9 million elements).</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noProof/>
          <w:sz w:val="20"/>
          <w:szCs w:val="20"/>
        </w:rPr>
      </w:r>
      <w:r w:rsidRPr="007E2F54">
        <w:rPr>
          <w:b/>
          <w:bCs/>
          <w:sz w:val="20"/>
          <w:szCs w:val="20"/>
        </w:rPr>
      </w:r>
      <w:r>
        <w:rPr>
          <w:b w:val="0"/>
          <w:sz w:val="20"/>
          <w:szCs w:val="20"/>
        </w:rPr>
      </w:r>
      <w:r w:rsidRPr="003A2481">
        <w:rPr>
          <w:b w:val="0"/>
          <w:sz w:val="20"/>
          <w:szCs w:val="20"/>
        </w:rPr>
      </w:r>
      <w:r>
        <w:rPr>
          <w:b w:val="0"/>
          <w:sz w:val="20"/>
          <w:szCs w:val="20"/>
        </w:rPr>
      </w:r>
      <w:r w:rsidRPr="003A2481">
        <w:rPr>
          <w:b w:val="0"/>
          <w:sz w:val="20"/>
          <w:szCs w:val="20"/>
        </w:rPr>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0.0240</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-87.2</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0.1387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-26.2</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0.1794</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-4.6</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0.1846</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0.1871</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-0.5</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0.1880</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S3. Comparison between an adaptive mesh (hmin = 0.1 mm, hmax = 2 mm) and a uniform mesh (1 mm everywhere).</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noProof/>
          <w:sz w:val="20"/>
          <w:szCs w:val="20"/>
        </w:rPr>
      </w:r>
      <w:r w:rsidRPr="007E2F54">
        <w:rPr>
          <w:b/>
          <w:bCs/>
          <w:sz w:val="20"/>
          <w:szCs w:val="20"/>
        </w:rPr>
      </w:r>
      <w:r>
        <w:rPr>
          <w:b w:val="0"/>
          <w:sz w:val="20"/>
          <w:szCs w:val="20"/>
        </w:rPr>
      </w:r>
      <w:r w:rsidRPr="00B01B82">
        <w:rPr>
          <w:b w:val="0"/>
          <w:sz w:val="20"/>
          <w:szCs w:val="20"/>
        </w:rPr>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(1 mm)</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~229,000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0.0415</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-77.9</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(hmin 0.1 mm, hmax 2 mm)</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0.1387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-26.2</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0.663</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Fine mesh (reference)</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18,864,900</w:t>
            </w:r>
            <w:r w:rsidRPr="000212DA">
              <w:rPr>
                <w:rFonts w:cs="Times New Roman"/>
                <w:sz w:val="20"/>
                <w:szCs w:val="20"/>
                <w:lang w:eastAsia="en-US"/>
              </w:rPr>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0.1880</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S3. Mesh convergence analysis showing (a) predicted mass loss and (b) relative error as a function of mesh density. Predictions converged with mesh refinement, with &lt;1% difference between the two finest meshes.</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sz w:val="20"/>
          <w:szCs w:val="20"/>
        </w:rPr>
      </w:r>
      <w:r w:rsidRPr="007E2F54">
        <w:rPr>
          <w:b/>
          <w:bCs/>
          <w:sz w:val="20"/>
          <w:szCs w:val="20"/>
        </w:rPr>
      </w:r>
      <w:r w:rsidRPr="007E2F54">
        <w:rPr>
          <w:b w:val="0"/>
          <w:sz w:val="20"/>
          <w:szCs w:val="20"/>
        </w:rPr>
      </w:r>
      <w:r w:rsidRPr="005E6EEB">
        <w:rPr>
          <w:b w:val="0"/>
          <w:sz w:val="20"/>
          <w:szCs w:val="20"/>
        </w:rPr>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0.005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b/>
                <w:bCs/>
                <w:color w:val="000000"/>
                <w:sz w:val="20"/>
                <w:szCs w:val="20"/>
                <w:lang w:eastAsia="en-US"/>
              </w:rPr>
              <w:t xml:space="preserve">L² mol⁻² h⁻¹</w:t>
            </w:r>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pPr>
        <w:pStyle w:val="BodyText"/>
        <w:spacing w:before="0" w:after="120" w:line="360" w:lineRule="auto"/>
        <w:ind w:firstLine="0"/>
        <w:jc w:val="both"/>
      </w:pPr>
      <w:r>
        <w:t xml:space="preserve">Table S11 compares the simulated mass loss with the HBSS validation measurements and their experimental scatter.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 xml:space="preserve">Time (h)</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Experiment (%, mean ± SD)</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Simulation (%)</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 (%)</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|Error|/SD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24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0.045 ± 0.016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0.105 ± 0.036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0.114</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168</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0.209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0.188</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−0.021</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336</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0.254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−0.014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0.23</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672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0.311 ± 0.115</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0.333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+0.022</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0.19</w:t>
            </w:r>
          </w:p>
        </w:tc>
      </w:tr>
    </w:tbl>
    <w:p w14:paraId="4237239E" w14:textId="395D4D00" w:rsidR="0021293D" w:rsidRDefault="0021293D" w:rsidP="0021293D">
      <w:pPr>
        <w:pStyle w:val="Heading1"/>
      </w:pPr>
      <w:r>
        <w:t>S7. Case-study results</w:t>
      </w:r>
    </w:p>
    <w:p>
      <w:pPr>
        <w:pStyle w:val="BodyText"/>
        <w:spacing w:before="0" w:after="120" w:line="360" w:lineRule="auto"/>
        <w:ind w:firstLine="0"/>
        <w:jc w:val="both"/>
      </w:pPr>
      <w:r>
        <w:t xml:space="preserve">Figure S8 shows the spatial evolution of oxygen and film saturation in the stent. Table S12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4237239E" w14:textId="395D4D00" w:rsidR="0021293D" w:rsidRDefault="0021293D" w:rsidP="0021293D">
      <w:pPr>
        <w:pStyle w:val="Heading1"/>
      </w:pPr>
      <w:r>
        <w:t>S8. Oxygen mass balance</w:t>
      </w:r>
    </w:p>
    <w:p>
      <w:pPr>
        <w:pStyle w:val="BodyText"/>
        <w:spacing w:before="0" w:after="120" w:line="360" w:lineRule="auto"/>
        <w:ind w:firstLine="0"/>
        <w:jc w:val="both"/>
      </w:pPr>
      <w:r>
        <w:t>Table S13 compares the oxygen required by the reaction stoichiometry (1 mol O₂ per 2 mol Zn, Eqs. 1–2) for the Zn lost from the disc with the oxygen removed from the electrolyte domain by the interfacial sink. The solver stores C_O₂ as a mass concentration (g mm⁻³) and evaluates the ORR recession velocity without a molar-mass conversion, which Eqs. 15–16 represent by the factor M_O₂ = 32 (the numerical value of the molar mass of oxygen in g mol⁻¹) applied to a molar C_O₂. The recession velocity is therefore 32 times the stoichiometrically consistent value for the same k_ORR. With this factor, the reaction-limited ceiling at k_ORR = 0.51 mm h⁻¹ is 0.29 mm yr⁻¹ (about 22 µm in 28 days, roughly 3% mass loss), which is above the simulated rates. The reported results are therefore consistent with the equations as written, and Zn recession is not stoichiometrically coupled to O₂ consumption.</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13</w:t>
      </w:r>
      <w:r w:rsidR="00B5514D" w:rsidRPr="007E2F54">
        <w:rPr>
          <w:b/>
          <w:bCs/>
          <w:noProof/>
          <w:sz w:val="20"/>
          <w:szCs w:val="20"/>
        </w:rPr>
        <w:fldChar w:fldCharType="end"/>
      </w:r>
      <w:r w:rsidRPr="007E2F54">
        <w:rPr>
          <w:b/>
          <w:bCs/>
          <w:sz w:val="20"/>
          <w:szCs w:val="20"/>
        </w:rPr>
        <w:t xml:space="preserve">.</w:t>
      </w:r>
      <w:r>
        <w:rPr>
          <w:b w:val="0"/>
          <w:sz w:val="20"/>
          <w:szCs w:val="20"/>
        </w:rPr>
        <w:t xml:space="preserve"> Oxygen required for the Zn lost (stoichiometric) compared with the oxygen consumed at the interface in disc simulations at 24 h and 168 h. The last column is the ratio of the two.</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Run</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Time (h)</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required (µg)</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consumed (µg)</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Required/consumed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82</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2.6</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31.9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393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17.5</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32.0</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87</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23.2</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330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1239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50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24.8</w:t>
            </w:r>
          </w:p>
        </w:tc>
      </w:tr>
    </w:tbl>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