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 was initialized using a 12-point Latin hypercube sampling (LHS) design [3] spanning the admissible parameter space and iteratively refined using the expected improvement (EI) acquisition function [2].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Table S9 and Figure S9 report the mesh convergence study, and Table S10 compares an adaptive mesh with a uniform mesh. Because the uniform mesh has the same 1 mm size everywhere, it places far fewer elements at the Zn-electrolyte interface (1 mm vs 0.1 mm) and under-resolves the oxygen gradient and the receding surface. It therefore has a larger error than the adaptive mesh even with fewer elements, which is why adaptive refinement at the interface was used.</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fine mesh (18.9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S9. Mesh convergence study showing the effect of mesh resolution on predicted 7-day mass loss. Relative errors are calculated with respect to the fine mesh (18.9 million elements).</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3A2481">
        <w:rPr>
          <w:b w:val="0"/>
          <w:sz w:val="20"/>
          <w:szCs w:val="20"/>
        </w:rPr>
      </w:r>
      <w:r>
        <w:rPr>
          <w:b w:val="0"/>
          <w:sz w:val="20"/>
          <w:szCs w:val="20"/>
        </w:rPr>
      </w:r>
      <w:r w:rsidRPr="003A2481">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0.0240</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0.1387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0.1794</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0.1846</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0.1871</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0.1880</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S10. Comparison between an adaptive mesh (hmin = 0.1 mm, hmax = 2 mm) and a uniform mesh (1 mm everywhere).</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B01B82">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(1 mm)</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~229,000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0.0415</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(hmin 0.1 mm, hmax 2 mm)</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0.1387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Fine mesh (reference)</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18,864,900</w:t>
            </w:r>
            <w:r w:rsidRPr="000212DA">
              <w:rPr>
                <w:rFonts w:cs="Times New Roman"/>
                <w:sz w:val="20"/>
                <w:szCs w:val="20"/>
                <w:lang w:eastAsia="en-US"/>
              </w:rPr>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0.1880</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S9. Mesh convergence analysis showing (a) predicted mass loss and (b) relative error as a function of mesh density. Predictions converged with mesh refinement, with &lt;1% difference between the two finest meshes.</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sz w:val="20"/>
          <w:szCs w:val="20"/>
        </w:rPr>
      </w:r>
      <w:r w:rsidRPr="007E2F54">
        <w:rPr>
          <w:b/>
          <w:bCs/>
          <w:sz w:val="20"/>
          <w:szCs w:val="20"/>
        </w:rPr>
      </w:r>
      <w:r w:rsidRPr="007E2F54">
        <w:rPr>
          <w:b w:val="0"/>
          <w:sz w:val="20"/>
          <w:szCs w:val="20"/>
        </w:rPr>
      </w:r>
      <w:r w:rsidRPr="005E6EEB">
        <w:rPr>
          <w:b w:val="0"/>
          <w:sz w:val="20"/>
          <w:szCs w:val="20"/>
        </w:rPr>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