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literature Zn degradation data</w:t>
      </w:r>
      <w:r>
        <w:rPr>
          <w:rFonts w:cs="Times New Roman"/>
        </w:rPr>
        <w:t xml:space="preserve"/>
      </w:r>
      <w:r w:rsidRPr="007E2F54">
        <w:rPr>
          <w:rFonts w:cs="Times New Roman"/>
        </w:rPr>
        <w:t xml:space="preserve">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literature-reported 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Literature and predicted cumulative mass loss obtained using four velocity-selection formulations. Rule A (hard minimum) </w:t>
      </w:r>
      <w:r>
        <w:rPr>
          <w:b w:val="0"/>
          <w:sz w:val="20"/>
          <w:szCs w:val="20"/>
        </w:rPr>
        <w:t xml:space="preserve">best matched the literature data</w:t>
      </w:r>
      <w:r w:rsidRPr="001D3A0A">
        <w:rPr>
          <w:b w:val="0"/>
          <w:sz w:val="20"/>
          <w:szCs w:val="20"/>
        </w:rPr>
        <w:t xml:space="preserve">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literature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>STL implant geometries were converted into tetrahedral finite-element meshes using a Gmsh-based workflow. Adaptive refinement was applied at the Zn-electrolyte interface, and the resulting Zn-electrolyte meshes were exported in FreeFEM/Medit (.mesh) format for all simulations.</w:t>
      </w:r>
      <w:r>
        <w:t xml:space="preserve"> 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1465.6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441.4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0.82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3011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3999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S4 lists the mesh, numerical integration, software and boundary-condition settings used for the disc calibration, disc validation and stent simulations.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S5 lists the parameters varied in the Morris analysis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>Optimal parameters were identified by minimizing the RMSE between predicted and literature-reported 14-day mass-loss measurements.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Calibrated model validation through comparison of predicted mass loss and literature-reported mass loss for Zn degradation.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 xml:space="preserve">Bayesian calibration results: (a) simulated and literature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External probe points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Corner-point evaluations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Warm-start data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Previous runs and training dataset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main-text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