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The GSA targeted the parameters that are uncertain and enter the calibration (kinetic constants, O₂ concentration and diffusivities; ranges in Table S5). ε and τ were fixed because they are not readily available from the literature or experiments, so literature-based estimates were used. F_max was not an independent parameter: it was calculated from the Langmuir saturation formulation given in the manuscript (F_max = ρ_film(1 − ε)). [Zn]_sat was taken from the literature, with the reference listed in the manuscript. The role of the corrosion-product mechanism was assessed separately: removing corrosion-product formation entirely raises the 672 h mass loss from 0.33% to 0.74% (A2.2), and the k_f and k_d sweeps (Fig. 4) show its effect on mass loss, saturation and interfacial O₂. Because ε and τ are fixed estimates, the absolute corrosion-product transport resistance is uncertain, which is stated in the Limitations.</w:t>
            </w:r>
          </w:p>
        </w:tc>
        <w:tc>
          <w:tcPr>
            <w:tcW w:w="1587" w:type="dxa"/>
          </w:tcPr>
          <w:p w14:paraId="450679D0" w14:textId="77777777" w:rsidR="003F785C" w:rsidRDefault="00E9439A">
            <w:r>
              <w:rPr>
                <w:sz w:val="20"/>
              </w:rPr>
              <w:t>Closed</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modelling premise (Eqs. 1–2), built on experimentally observed oxygen control of Zn degradation, so the Morris ranking alone does not show that oxygen controls degradation; it only shows how the model responds to O₂. The test that the model captures this behaviour is therefore not the sensitivity ranking but its agreement with data not used in calibration: the 28-day immersion data (RMSE = 0.0159%) and the stent prediction (about 6%). These results show that the oxygen-controlled formulation reproduces the measured mass loss. The model also allows a reaction-limited stage (v_n is the limiting of three velocities), so oxygen control is not forced at all times. This supports the assumption within the tested conditions but does not prove oxygen control in vivo.</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Closed</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 The near-linear dependence of mass loss on SA:V is expected and is reported in the literature, so a similar or higher SA:V-scaled value is not evidence against the model. The model's added value is that transport control reduces the overall stent mass loss only moderately relative to this scaling (6.0% vs 12.8%) but changes where material is lost strongly: recession is concentrated on the oxygen-accessible outer surface and suppressed in the confined regions (Figs. 7–8), which SA:V scaling cannot capture.</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Closed</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The spatial distribution of degradation is the main added value of the model. It is shown by the individual simulations (Figs. 7 and 8), each compared with its baseline: the six-crown stent against the disc (Fig. 6) and the curved and spaced structures against the straight, widely spaced reference (Fig. 8). The baseline comparisons show that global mass loss changes only modestly, whereas the spatial distribution of recession changes strongly.</w:t>
            </w:r>
            <w:r>
              <w:rPr>
                <w:sz w:val="20"/>
              </w:rPr>
            </w:r>
            <w:r w:rsidRPr="004F7C38">
              <w:rPr>
                <w:sz w:val="20"/>
              </w:rPr>
            </w:r>
            <w:r>
              <w:rPr>
                <w:sz w:val="20"/>
              </w:rPr>
            </w:r>
            <w:r>
              <w:rPr>
                <w:i/>
                <w:color w:val="808080"/>
                <w:sz w:val="20"/>
              </w:rPr>
            </w:r>
          </w:p>
        </w:tc>
        <w:tc>
          <w:tcPr>
            <w:tcW w:w="1587" w:type="dxa"/>
          </w:tcPr>
          <w:p w14:paraId="052F6F47" w14:textId="7B0D9FA4" w:rsidR="004F7C38" w:rsidRDefault="004F7C38" w:rsidP="004F7C38">
            <w:r>
              <w:rPr>
                <w:color w:val="000000"/>
                <w:sz w:val="20"/>
              </w:rPr>
              <w:t>Closed</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 The reference list now also cites the Yang et al. study, which supplied the in vivo mass-loss comparison, in addition to the review.</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Eq. 11 text now defines F_max on this mass basis, and Table 2 and Table S5 now give k_d in L² mol⁻² h⁻¹.</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(empirical) reaction order, not the stoichiometric one, since Eq. 5 is an overall reaction and the dissolution is not an elementary step. The manuscript now states this, and k_d is a calibrated effective coefficient with units L² mol⁻² h⁻¹. Cl⁻ is treated as conserved (Eq. 8 has no sink) because it is in large excess (142.3 mmol L⁻¹): the upper-bound consumption is about 6% for the disc and below 1% for the stent. ‘Catalytic’ has been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run on 4 cores), corrected to the fine mesh with a linear bias correction (r = 0.9986; Methods 2.4). An axisymmetric model would be cheaper for calibration, but the 3D formulation was kept so that calibration and the stent prediction use the same model.</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stent interface mesh size is 5 µm (minimum element size 0.005 mm, Table S4), comparable to the 3–8 µm local recession (about one element). This does not make the results noise, for three reasons. First, the interface is not a mesh feature: it is the zero contour of the P1 signed-distance function, which is located by interpolation inside elements, so recession smaller than one element is still represented in the interface position. Second, the quantities used for the conclusions are integrated: mass loss and mean penetration are mesh-converged (&lt;1%, Section S2), and the geometry effects rest on outer/inner differences of several µm, which exceed the element size. Third, the sub-element roughness in the local profiles of Fig. 7a is at the discretisation scale and is not interpreted physically.</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8.55 and 4.76 µm). The 13.2× has a very small denominator (0.28 µm, below the interface mesh size), so it is poorly constrained, and the absolute differences are similar (3.4 µm for the arc, 3.8 µm for the crown). The ratios also differ in geometry: the isolated 150° arc (radius 0.63 mm) confines its inner side more strongly than the crown within the stent.</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