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We confirm the estimate: Eq. 15 evaluated with C_O₂ in mol mm⁻³ and no further factor gives 1.0 × 10⁻⁶ mm h⁻¹ (0.009 mm yr⁻¹). Our audit found that the solver stores C_O₂ as a mass concentration (g mm⁻³) and evaluates the ORR velocity without a molar-mass conversion, so the simulated velocity is 32 times the molar form for the same k_ORR. We have corrected Eqs. 15–16 by adding the factor M_O₂ = 32 (the numerical value of the molar mass of oxygen in g mol⁻¹), with C_O₂ in mol mm⁻³. The O₂ sink (Eq. 7) is unchanged and uses k_ORR = 0.51 mm h⁻¹, so Table 2 keeps one k_ORR and gains one fixed entry, M_O₂ = 32. With this factor the reaction ceiling at k_ORR = 0.51 mm h⁻¹ is 0.29 mm yr⁻¹ (about 3% mass loss in 28 days), above the simulated rates (0.12 mm yr⁻¹ disc, 0.155 mm yr⁻¹ stent) and the measured 0.31%. The reported results are therefore consistent with the equations as now written; only the printed equations were inconsistent.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response to A1.1. The corrosion rates in Figures 5b and 6b are the values computed by the implemented model, and they are below the reaction ceiling of 0.29 mm yr⁻¹ at k_ORR = 0.51 mm h⁻¹.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reaction ceilings for k_ORR = 0.04, 0.2 and 1 are 0.06, 0.30 and 1.5%, and the simulated mass losses are 0.04, 0.20 and 0.63%, all below the ceiling.</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We added a global mass balance (Section S8, Table S13). The O₂ consumed at the interface is about 1/32 of the stoichiometric requirement for the Zn lost at 24 h and about 1/24 at 168 h, for all three k_ORR values tested. This confirms that the M_O₂ factor acts as an effective one and that Zn recession is not stoichiometrically coupled to O₂ consumption in the present formulation. The Methods and Limitations now state this, and note that the absolute interfacial O₂ depletion in Figs. 4g–i and 5d is underestimated relative to a stoichiometric model, so these panels show relative patterns.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1.0 × 10⁻⁶ mm h⁻¹, i.e. 0.009 mm yr⁻¹ (see A1.1). Eqs. 15–16 now contain the factor M_O₂ = 32 that the solver applies, so the printed equations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We agree that oxygen-reduction-limited dissolution is a model assumption (Eqs. 1–2), so the Morris ranking alone cannot show that oxygen controls degradation. The Methods state oxygen-limited dissolution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[Soften 'demonstrates' in the Abstract and 'identified … primary driver' in the Conclusions to match.]</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sweeps in the original Fig. 4 used k_f = 100, k_d = 30 and k_ORR = 1.0, not the optimised values, which is why the baseline gave 0.39% at 168 h against about 0.19% in Fig. 5a. We have repeated the sweeps around the calibrated baseline (k_f = 10, k_d = 1, k_ORR = 0.2 [confirm these are the calibrated values and update Table 2]), varying each parameter by the same factors (×0.2 and ×5) with the others fixed. The baseline curve gives 0.20% at 168 h, matching the calibrated simulation in Fig. 5a. [Insert the updated Fig. 4 and revised text in the manuscript.]</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standard deviation of the local penetration depth around the cross-section perimeter. The Fig. 8c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We have reconciled the two statements by giving the cost where each is used. The Results state that calibration is computationally tractable because only three parameters are calibrated, on a coarse mesh at about 2 h per 3D simulation (Table S4). The Discussion describes the high-fidelity validation and stent simulations (about 69 h on 50–64 cores for 672 h on a 19–21 million-element mesh, Table S4)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