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model predictions that are not validated at earlier times. Measurements before 24 h are needed to test them and are left for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targeted the parameters that are uncertain and enter the calibration (kinetic constants, O₂ concentration and diffusivities; ranges in Table S5). ε and τ were fixed because they are not readily available from the literature or experiments, so literature-based estimates were used. F_max was not an independent parameter: it was calculated from the Langmuir saturation formulation given in the manuscript (F_max = ρ_film(1 − ε)). [Zn]_sat was taken from the literature, with the reference listed in the manuscript. The role of the corrosion-product mechanism was assessed separately: removing corrosion-product formation entirely raises the 672 h mass loss from 0.33% to 0.74% (A2.2), and the k_f and k_d sweeps (Fig. 4) show its effect on mass loss, saturation and interfacial O₂. Because ε and τ are fixed estimates, the absolute corrosion-product transport resistance is uncertain, which is stated in the Limitations.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modelling premise (Eqs. 1–2), built on experimentally observed oxygen control of Zn degradation, so the Morris ranking alone does not show that oxygen controls degradation; it only shows how the model responds to O₂. The test that the model captures this behaviour is therefore not the sensitivity ranking but its agreement with data not used in calibration: the 28-day immersion data (RMSE = 0.0159%) and the stent prediction (about 6%). These results show that the oxygen-controlled formulation reproduces the measured mass loss. The model also allows a reaction-limited stage (v_n is the limiting of three velocities), so oxygen control is not forced at all times. This supports the assumption within the tested conditions but does not prove oxygen control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 The near-linear dependence of mass loss on SA:V is expected and is reported in the literature, so a similar or higher SA:V-scaled value is not evidence against the model. The model's added value is that transport control reduces the overall stent mass loss only moderately relative to this scaling (6.0% vs 12.8%) but changes where material is lost strongly: recession is concentrated on the oxygen-accessible outer surface and suppressed in the confined regions (Figs. 7–8), which SA:V scaling cannot capture.</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spatial distribution of degradation is the main added value of the model. It is shown by the individual simulations (Figs. 7 and 8), each compared with its baseline: the six-crown stent against the disc (Fig. 6) and the curved and spaced structures against the straight, widely spaced reference (Fig. 8). The baseline comparisons show that global mass loss changes only modestly, whereas the spatial distribution of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 The reference list now also cites the Yang et al. study, which supplied the in vivo mass-loss comparison, in addition to the review.</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Eq. 11 text now defines F_max on this mass basis, and Table 2 and Table S5 now give k_d in L² mol⁻² h⁻¹.</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(empirical) reaction order, not the stoichiometric one, since Eq. 5 is an overall reaction and the dissolution is not an elementary step. The manuscript now states this, and k_d is a calibrated effective coefficient with units L² mol⁻² h⁻¹. Cl⁻ is treated as conserved (Eq. 8 has no sink) because it is in large excess (142.3 mmol L⁻¹): the upper-bound consumption is about 6% for the disc and below 1% for the stent. ‘Catalytic’ has been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run on 4 cores), corrected to the fine mesh with a linear bias correction (r = 0.9986; Methods 2.4). An axisymmetric model would be cheaper for calibration, but the 3D formulation was kept so that calibration and the stent prediction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size is 5 µm (minimum element size 0.005 mm, Table S4), comparable to the 3–8 µm local recession (about one element). This does not make the results noise, for three reasons. First, the interface is not a mesh feature: it is the zero contour of the P1 signed-distance function, which is located by interpolation inside elements, so recession smaller than one element is still represented in the interface position. Second, the quantities used for the conclusions are integrated: mass loss and mean penetration are mesh-converged (&lt;1%, Section S2), and the geometry effects rest on outer/inner differences of several µm, which exceed the element size. Third, the sub-element roughness in the local profiles of Fig. 7a is at the discretisation scale and is not interpreted physically.</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8.55 and 4.76 µm). The 13.2× has a very small denominator (0.28 µm, below the interface mesh size), so it is poorly constrained, and the absolute differences are similar (3.4 µm for the arc, 3.8 µm for the crown). The ratios also differ in geometry: the isolated 150° arc (radius 0.63 mm) confines its inner side more strongly than the crown within the stent.</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The balance resolution was 0.1 mg. Blank cleaning controls were not performed; however, all samples were cleaned using the same protocol (chromic acid at room temperature for 10 min), minimizing systematic bias between groups. The 0.1 mg resolution is small relative to the measured mass losses, and the experimental scatter (SD = 0.115% at 28 days, n = 3) is much larger than the balance resolution. The absence of blank controls means any cleaning-induced loss of bare Zn is not quantified separately.</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The corrosion products were removed with chromic acid at room temperature for 10 min. The discs were immersed lying flat (horizontal orientation). No CO₂ incubator was used; the immersion was static at 37 °C. The HBSS pH was 7.4 and is now stated in the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