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Table S11; Figure S7</w:t>
            </w:r>
          </w:p>
        </w:tc>
      </w:tr>
      <w:tr>
        <w:trPr>
          <w:cantSplit/>
        </w:trPr>
        <w:tc>
          <w:tcPr>
            <w:tcW w:w="1000" w:type="dxa"/>
            <w:vAlign w:val="center"/>
          </w:tcPr>
          <w:p>
            <w:pPr>
              <w:keepNext w:val="0"/>
              <w:spacing w:before="20" w:after="20" w:line="240" w:lineRule="auto"/>
              <w:ind w:firstLine="0"/>
              <w:jc w:val="left"/>
            </w:pPr>
            <w:r>
              <w:rPr>
                <w:sz w:val="20"/>
                <w:szCs w:val="20"/>
              </w:rPr>
              <w:t>S7</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Table S12; Figures S8–S10</w:t>
            </w:r>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Table S2 and Figure S3 report the mesh convergence study, and Table S3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2</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3</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3</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19.46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53.9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[16] was initialized using a 12-point Latin hypercube sampling (LHS) design [18] spanning the admissible parameter space and iteratively refined using the expected improvement (EI) acquisition function [17].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pPr>
      <w:r>
        <w:t xml:space="preserve">Table S11 compares the simulated mass loss with the HBSS validation measurements and their experimental scatter.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11</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 xml:space="preserve">Time (h)</w:t>
            </w:r>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Experiment (%, mean ± SD)</w:t>
            </w:r>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Simulation (%)</w:t>
            </w:r>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 (%)</w:t>
            </w:r>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 xml:space="preserve">|Error|/SD</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24</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0.045 ± 0.016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0.049</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0.28</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0.105 ± 0.036</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0.114</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+0.008</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168</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0.209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0.188</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−0.021</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0.34</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336</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0.254 ± 0.061</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0.240</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−0.014</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0.23</w:t>
            </w:r>
          </w:p>
        </w:tc>
      </w:tr>
      <w:tr w:rsidR="003A0691" w:rsidRPr="00540DBD" w14:paraId="0258F805" w14:textId="77777777" w:rsidTr="00554D08">
        <w:trPr>
          <w:cantSplit/>
        </w:trPr>
        <w:tc>
          <w:tcPr>
            <w:tcW w:w="125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 xml:space="preserve">672</w:t>
            </w:r>
          </w:p>
        </w:tc>
        <w:tc>
          <w:tcPr>
            <w:tcW w:w="2400"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0.311 ± 0.115</w:t>
            </w:r>
          </w:p>
        </w:tc>
        <w:tc>
          <w:tcPr>
            <w:tcW w:w="1700"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0.333</w:t>
            </w:r>
          </w:p>
        </w:tc>
        <w:tc>
          <w:tcPr>
            <w:tcW w:w="1700"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+0.022</w:t>
            </w:r>
          </w:p>
        </w:tc>
        <w:tc>
          <w:tcPr>
            <w:tcW w:w="1976"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 xml:space="preserve">0.19</w:t>
            </w:r>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S12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12</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