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color w:val="EE0000"/>
                <w:sz w:val="20"/>
              </w:rPr>
              <w:t xml:space="preserve">We thank the reviewer for this dimensional consistency check, and we confirm the estimate. In consistent units, C_O₂ = 3.5 mg L⁻¹ = 1.09 × 10⁻¹⁰ mol mm⁻³ (1 L = 10⁶ mm³) and [Zn]_sol = 7.14/65.38 g cm⁻³ = 1.09 × 10⁻⁴ mol mm⁻³. For </w:t>
            </w:r>
            <w:proofErr w:type="spellStart"/>
            <w:r w:rsidRPr="00DE6DA4">
              <w:rPr>
                <w:color w:val="EE0000"/>
                <w:sz w:val="20"/>
              </w:rPr>
              <w:t>k_ORR</w:t>
            </w:r>
            <w:proofErr w:type="spellEnd"/>
            <w:r w:rsidRPr="00DE6DA4">
              <w:rPr>
                <w:color w:val="EE0000"/>
                <w:sz w:val="20"/>
              </w:rPr>
              <w:t xml:space="preserve"> = 0.51 mm h⁻¹, Eq. 15 then gives </w:t>
            </w:r>
            <w:proofErr w:type="spellStart"/>
            <w:r w:rsidRPr="00DE6DA4">
              <w:rPr>
                <w:color w:val="EE0000"/>
                <w:sz w:val="20"/>
              </w:rPr>
              <w:t>v_ORR</w:t>
            </w:r>
            <w:proofErr w:type="spellEnd"/>
            <w:r w:rsidRPr="00DE6DA4">
              <w:rPr>
                <w:color w:val="EE0000"/>
                <w:sz w:val="20"/>
              </w:rPr>
              <w:t xml:space="preserve"> = 2 </w:t>
            </w:r>
            <w:proofErr w:type="spellStart"/>
            <w:r w:rsidRPr="00DE6DA4">
              <w:rPr>
                <w:color w:val="EE0000"/>
                <w:sz w:val="20"/>
              </w:rPr>
              <w:t>k_ORR</w:t>
            </w:r>
            <w:proofErr w:type="spellEnd"/>
            <w:r w:rsidRPr="00DE6DA4">
              <w:rPr>
                <w:color w:val="EE0000"/>
                <w:sz w:val="20"/>
              </w:rPr>
              <w:t xml:space="preserve">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w:t>
            </w:r>
            <w:proofErr w:type="spellStart"/>
            <w:r w:rsidRPr="00DE6DA4">
              <w:rPr>
                <w:color w:val="EE0000"/>
                <w:sz w:val="20"/>
              </w:rPr>
              <w:t>k_ORR</w:t>
            </w:r>
            <w:proofErr w:type="spellEnd"/>
            <w:r w:rsidRPr="00DE6DA4">
              <w:rPr>
                <w:color w:val="EE0000"/>
                <w:sz w:val="20"/>
              </w:rPr>
              <w:t xml:space="preserve">, the regularized interfacial delta function </w:t>
            </w:r>
            <w:proofErr w:type="spellStart"/>
            <w:r w:rsidRPr="00DE6DA4">
              <w:rPr>
                <w:color w:val="EE0000"/>
                <w:sz w:val="20"/>
              </w:rPr>
              <w:t>δ_Γ</w:t>
            </w:r>
            <w:proofErr w:type="spellEnd"/>
            <w:r w:rsidRPr="00DE6DA4">
              <w:rPr>
                <w:color w:val="EE0000"/>
                <w:sz w:val="20"/>
              </w:rPr>
              <w:t xml:space="preserve"> and the oxygen concentration (units, g versus mol, and the interface area scaling) and found [describe finding: e.g. the unit/definition used in the code and the correction made]. [Corrected </w:t>
            </w:r>
            <w:proofErr w:type="spellStart"/>
            <w:r w:rsidRPr="00DE6DA4">
              <w:rPr>
                <w:color w:val="EE0000"/>
                <w:sz w:val="20"/>
              </w:rPr>
              <w:t>k_ORR</w:t>
            </w:r>
            <w:proofErr w:type="spellEnd"/>
            <w:r w:rsidRPr="00DE6DA4">
              <w:rPr>
                <w:color w:val="EE0000"/>
                <w:sz w:val="20"/>
              </w:rPr>
              <w:t>, Table 2, Figures 3–8 and associated text: describe what was re-run and what changed.]</w:t>
            </w:r>
          </w:p>
        </w:tc>
        <w:tc>
          <w:tcPr>
            <w:tcW w:w="1587" w:type="dxa"/>
          </w:tcPr>
          <w:p w14:paraId="224A183E" w14:textId="77777777" w:rsidR="00660073" w:rsidRDefault="00000000">
            <w:r>
              <w:rPr>
                <w:sz w:val="20"/>
              </w:rPr>
              <w:t>Draft</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color w:val="000000"/>
                <w:sz w:val="20"/>
              </w:rPr>
              <w:t>See response to A1.1.</w:t>
            </w:r>
          </w:p>
        </w:tc>
        <w:tc>
          <w:tcPr>
            <w:tcW w:w="1587" w:type="dxa"/>
          </w:tcPr>
          <w:p w14:paraId="7DFA5F15" w14:textId="77777777" w:rsidR="00660073" w:rsidRDefault="00000000">
            <w:r>
              <w:rPr>
                <w:sz w:val="20"/>
              </w:rPr>
              <w:t>Draft</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color w:val="EE0000"/>
                <w:sz w:val="20"/>
              </w:rPr>
              <w:t xml:space="preserve">See response to A1.1. The mass-loss response for </w:t>
            </w:r>
            <w:proofErr w:type="spellStart"/>
            <w:r w:rsidRPr="00DE6DA4">
              <w:rPr>
                <w:color w:val="EE0000"/>
                <w:sz w:val="20"/>
              </w:rPr>
              <w:t>k_ORR</w:t>
            </w:r>
            <w:proofErr w:type="spellEnd"/>
            <w:r w:rsidRPr="00DE6DA4">
              <w:rPr>
                <w:color w:val="EE0000"/>
                <w:sz w:val="20"/>
              </w:rPr>
              <w:t xml:space="preserve"> = 0.1 in Figure 4c is [confirmed / re-computed] after the audit: [values].</w:t>
            </w:r>
          </w:p>
        </w:tc>
        <w:tc>
          <w:tcPr>
            <w:tcW w:w="1587" w:type="dxa"/>
          </w:tcPr>
          <w:p w14:paraId="43BEC15B" w14:textId="77777777" w:rsidR="00660073" w:rsidRDefault="00000000">
            <w:r>
              <w:rPr>
                <w:sz w:val="20"/>
              </w:rPr>
              <w:t>Draft</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color w:val="EE0000"/>
                <w:sz w:val="20"/>
              </w:rPr>
              <w:t xml:space="preserve">We checked the units and definitions of </w:t>
            </w:r>
            <w:proofErr w:type="spellStart"/>
            <w:r w:rsidRPr="00DE6DA4">
              <w:rPr>
                <w:color w:val="EE0000"/>
                <w:sz w:val="20"/>
              </w:rPr>
              <w:t>k_ORR</w:t>
            </w:r>
            <w:proofErr w:type="spellEnd"/>
            <w:r w:rsidRPr="00DE6DA4">
              <w:rPr>
                <w:color w:val="EE0000"/>
                <w:sz w:val="20"/>
              </w:rPr>
              <w:t xml:space="preserve">, </w:t>
            </w:r>
            <w:proofErr w:type="spellStart"/>
            <w:r w:rsidRPr="00DE6DA4">
              <w:rPr>
                <w:color w:val="EE0000"/>
                <w:sz w:val="20"/>
              </w:rPr>
              <w:t>δ_Γ</w:t>
            </w:r>
            <w:proofErr w:type="spellEnd"/>
            <w:r w:rsidRPr="00DE6DA4">
              <w:rPr>
                <w:color w:val="EE0000"/>
                <w:sz w:val="20"/>
              </w:rPr>
              <w:t xml:space="preserve"> and C_O₂ (see A1.1) and added a global mass-balance check, based on the stoichiometry 1 mol O</w:t>
            </w:r>
            <w:proofErr w:type="gramStart"/>
            <w:r w:rsidRPr="00DE6DA4">
              <w:rPr>
                <w:color w:val="EE0000"/>
                <w:sz w:val="20"/>
              </w:rPr>
              <w:t>₂ :</w:t>
            </w:r>
            <w:proofErr w:type="gramEnd"/>
            <w:r w:rsidRPr="00DE6DA4">
              <w:rPr>
                <w:color w:val="EE0000"/>
                <w:sz w:val="20"/>
              </w:rPr>
              <w:t xml:space="preserve"> 2 mol Zn, comparing the O₂ consumed at the interface with the Zn lost over 672 h: [result, to be added to the Supplementary Information as Section S[x]].</w:t>
            </w:r>
          </w:p>
        </w:tc>
        <w:tc>
          <w:tcPr>
            <w:tcW w:w="1587" w:type="dxa"/>
          </w:tcPr>
          <w:p w14:paraId="336D02D7" w14:textId="77777777" w:rsidR="00660073" w:rsidRDefault="00000000">
            <w:r>
              <w:rPr>
                <w:sz w:val="20"/>
              </w:rPr>
              <w:t>Draft</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color w:val="EE0000"/>
                <w:sz w:val="20"/>
              </w:rPr>
              <w:t>Confirmed; see A1.1.</w:t>
            </w:r>
          </w:p>
        </w:tc>
        <w:tc>
          <w:tcPr>
            <w:tcW w:w="1587" w:type="dxa"/>
          </w:tcPr>
          <w:p w14:paraId="379BEEF2" w14:textId="77777777" w:rsidR="00660073" w:rsidRDefault="00000000">
            <w:r>
              <w:rPr>
                <w:sz w:val="20"/>
              </w:rPr>
              <w:t>Draft</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lastRenderedPageBreak/>
              <w:t>Draft</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Draft</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Done</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Draft</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Draft</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Draft</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Draft</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color w:val="000000"/>
                <w:sz w:val="20"/>
              </w:rPr>
              <w:t>The disc and stent were simulated within the same 30×30×3030 \times 30 \times 3030×30×30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Draft</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color w:val="000000"/>
                <w:sz w:val="20"/>
              </w:rPr>
              <w:t>CO2​​=3.5 mg L−1 was adopted from physiological literature but is lower than air-saturated saline at 37 °C. Because the ORR-limited rate depends on kORR</w:t>
            </w:r>
            <w:r>
              <w:rPr>
                <w:color w:val="000000"/>
                <w:sz w:val="20"/>
              </w:rPr>
              <w:t>.</w:t>
            </w:r>
            <w:r w:rsidRPr="00CA6A0B">
              <w:rPr>
                <w:color w:val="000000"/>
                <w:sz w:val="20"/>
              </w:rPr>
              <w:t xml:space="preserve">CO2, the fitted </w:t>
            </w:r>
            <w:proofErr w:type="spellStart"/>
            <w:r>
              <w:rPr>
                <w:color w:val="000000"/>
                <w:sz w:val="20"/>
              </w:rPr>
              <w:t>kORR</w:t>
            </w:r>
            <w:proofErr w:type="spellEnd"/>
            <w:r w:rsidRPr="00CA6A0B">
              <w:rPr>
                <w:color w:val="000000"/>
                <w:sz w:val="20"/>
              </w:rPr>
              <w:t>​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CO2​​.</w:t>
            </w:r>
          </w:p>
        </w:tc>
        <w:tc>
          <w:tcPr>
            <w:tcW w:w="1587" w:type="dxa"/>
          </w:tcPr>
          <w:p w14:paraId="62E647CE" w14:textId="77777777" w:rsidR="00660073" w:rsidRDefault="00000000">
            <w:r>
              <w:rPr>
                <w:sz w:val="20"/>
              </w:rPr>
              <w:t>Draft</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color w:val="000000"/>
                <w:sz w:val="20"/>
              </w:rPr>
              <w:t>The vessel geometry and liquid height are now specified. Domain-size and oxygen-resupply sensitivity tests have been added, and the choice of CO2​​ is justified separately for the in vitro and physiological simulations.</w:t>
            </w:r>
          </w:p>
        </w:tc>
        <w:tc>
          <w:tcPr>
            <w:tcW w:w="1587" w:type="dxa"/>
          </w:tcPr>
          <w:p w14:paraId="3660970D" w14:textId="77777777" w:rsidR="00660073" w:rsidRDefault="00000000">
            <w:r>
              <w:rPr>
                <w:sz w:val="20"/>
              </w:rPr>
              <w:t>Draft</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color w:val="808080"/>
                <w:sz w:val="20"/>
              </w:rPr>
              <w:t>[To be completed]</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color w:val="000000"/>
                <w:sz w:val="20"/>
              </w:rPr>
              <w:lastRenderedPageBreak/>
              <w:t xml:space="preserve">The in vivo timescale cannot justify a </w:t>
            </w:r>
            <w:proofErr w:type="spellStart"/>
            <w:r w:rsidRPr="00991BBA">
              <w:rPr>
                <w:color w:val="000000"/>
                <w:sz w:val="20"/>
              </w:rPr>
              <w:t>ZnO</w:t>
            </w:r>
            <w:proofErr w:type="spellEnd"/>
            <w:r w:rsidRPr="00991BBA">
              <w:rPr>
                <w:color w:val="000000"/>
                <w:sz w:val="20"/>
              </w:rPr>
              <w:t xml:space="preserve">-only representation for the in vitro simulations, as additional corrosion products form within hours to days. The in vivo justification has therefore been removed, and </w:t>
            </w:r>
            <w:r w:rsidRPr="00991BBA">
              <w:rPr>
                <w:color w:val="000000"/>
                <w:sz w:val="20"/>
              </w:rPr>
              <w:lastRenderedPageBreak/>
              <w:t xml:space="preserve">the model is now described as a homogenized </w:t>
            </w:r>
            <w:proofErr w:type="spellStart"/>
            <w:r w:rsidRPr="00991BBA">
              <w:rPr>
                <w:color w:val="000000"/>
                <w:sz w:val="20"/>
              </w:rPr>
              <w:t>ZnO</w:t>
            </w:r>
            <w:proofErr w:type="spellEnd"/>
            <w:r w:rsidRPr="00991BBA">
              <w:rPr>
                <w:color w:val="000000"/>
                <w:sz w:val="20"/>
              </w:rPr>
              <w:t>-based representation that does not explicitly resolve phosphate-, carbonate-, calcium-, or chloride-containing phases.</w:t>
            </w:r>
          </w:p>
        </w:tc>
        <w:tc>
          <w:tcPr>
            <w:tcW w:w="1587" w:type="dxa"/>
          </w:tcPr>
          <w:p w14:paraId="1C384250" w14:textId="77777777" w:rsidR="00660073" w:rsidRDefault="00000000">
            <w:r>
              <w:rPr>
                <w:sz w:val="20"/>
              </w:rPr>
              <w:lastRenderedPageBreak/>
              <w:t>Draft</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14:paraId="5AE7FD9F" w14:textId="77777777" w:rsidR="00660073" w:rsidRDefault="00000000">
            <w:r>
              <w:rPr>
                <w:sz w:val="20"/>
              </w:rPr>
              <w:t>Draft</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color w:val="000000"/>
                <w:sz w:val="20"/>
              </w:rPr>
              <w:t>The first measurement is at 24 h, so the experiments do not constrain the reaction-to-diffusion transition, which is a model-derived quantity. The simulations themselves resolve this period: the time step is 0.25 h (Table S4</w:t>
            </w:r>
            <w:proofErr w:type="gramStart"/>
            <w:r>
              <w:rPr>
                <w:color w:val="000000"/>
                <w:sz w:val="20"/>
              </w:rPr>
              <w:t>)</w:t>
            </w:r>
            <w:proofErr w:type="gramEnd"/>
            <w:r>
              <w:rPr>
                <w:color w:val="000000"/>
                <w:sz w:val="20"/>
              </w:rPr>
              <w:t xml:space="preserve"> and the fields and mass loss were saved at 1 h intervals, so the </w:t>
            </w:r>
            <w:proofErr w:type="spellStart"/>
            <w:r>
              <w:rPr>
                <w:color w:val="000000"/>
                <w:sz w:val="20"/>
              </w:rPr>
              <w:t>Damköhler</w:t>
            </w:r>
            <w:proofErr w:type="spellEnd"/>
            <w:r>
              <w:rPr>
                <w:color w:val="000000"/>
                <w:sz w:val="20"/>
              </w:rPr>
              <w:t xml:space="preserve">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14:paraId="6BB41582" w14:textId="77777777" w:rsidR="00660073" w:rsidRDefault="00000000">
            <w:r>
              <w:rPr>
                <w:sz w:val="20"/>
              </w:rPr>
              <w:t>Draft</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color w:val="000000"/>
                <w:sz w:val="20"/>
              </w:rPr>
              <w:t xml:space="preserve">We agree. The 14-day and 28-day masses (3.03 ± 0.74 and 3.67 ± 1.33 mg, n = 3; a </w:t>
            </w:r>
            <w:r>
              <w:rPr>
                <w:color w:val="000000"/>
                <w:sz w:val="20"/>
              </w:rPr>
              <w:lastRenderedPageBreak/>
              <w:t>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14:paraId="0ACDE2AA" w14:textId="77777777" w:rsidR="00660073" w:rsidRDefault="00000000">
            <w:r>
              <w:rPr>
                <w:sz w:val="20"/>
              </w:rPr>
              <w:lastRenderedPageBreak/>
              <w:t>Draft</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color w:val="000000"/>
                <w:sz w:val="20"/>
              </w:rPr>
              <w:t xml:space="preserve">We agree that </w:t>
            </w:r>
            <w:proofErr w:type="gramStart"/>
            <w:r>
              <w:rPr>
                <w:color w:val="000000"/>
                <w:sz w:val="20"/>
              </w:rPr>
              <w:t>a correlation</w:t>
            </w:r>
            <w:proofErr w:type="gramEnd"/>
            <w:r>
              <w:rPr>
                <w:color w:val="000000"/>
                <w:sz w:val="20"/>
              </w:rPr>
              <w:t xml:space="preserve">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14:paraId="6514AEA0" w14:textId="77777777" w:rsidR="00660073" w:rsidRDefault="00000000">
            <w:r>
              <w:rPr>
                <w:sz w:val="20"/>
              </w:rPr>
              <w:t>Draft</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color w:val="000000"/>
                <w:sz w:val="20"/>
              </w:rPr>
              <w:t xml:space="preserve">The relative influence of </w:t>
            </w:r>
            <w:proofErr w:type="spellStart"/>
            <w:r>
              <w:rPr>
                <w:color w:val="000000"/>
                <w:sz w:val="20"/>
              </w:rPr>
              <w:t>k_f</w:t>
            </w:r>
            <w:proofErr w:type="spellEnd"/>
            <w:r>
              <w:rPr>
                <w:color w:val="000000"/>
                <w:sz w:val="20"/>
              </w:rPr>
              <w:t xml:space="preserve"> is addressed in the response to A2.2 (Figure 3a ranks </w:t>
            </w:r>
            <w:proofErr w:type="spellStart"/>
            <w:r>
              <w:rPr>
                <w:color w:val="000000"/>
                <w:sz w:val="20"/>
              </w:rPr>
              <w:t>k_f</w:t>
            </w:r>
            <w:proofErr w:type="spellEnd"/>
            <w:r>
              <w:rPr>
                <w:color w:val="000000"/>
                <w:sz w:val="20"/>
              </w:rPr>
              <w:t xml:space="preserve"> below C_O₂,0, </w:t>
            </w:r>
            <w:proofErr w:type="spellStart"/>
            <w:r>
              <w:rPr>
                <w:color w:val="000000"/>
                <w:sz w:val="20"/>
              </w:rPr>
              <w:t>k_ORR</w:t>
            </w:r>
            <w:proofErr w:type="spellEnd"/>
            <w:r>
              <w:rPr>
                <w:color w:val="000000"/>
                <w:sz w:val="20"/>
              </w:rPr>
              <w:t xml:space="preserve">, </w:t>
            </w:r>
            <w:proofErr w:type="spellStart"/>
            <w:r>
              <w:rPr>
                <w:color w:val="000000"/>
                <w:sz w:val="20"/>
              </w:rPr>
              <w:t>k_d</w:t>
            </w:r>
            <w:proofErr w:type="spellEnd"/>
            <w:r>
              <w:rPr>
                <w:color w:val="000000"/>
                <w:sz w:val="20"/>
              </w:rPr>
              <w:t xml:space="preserve"> and D_O₂). [Parameter correlation / profile-likelihood analysis to be completed.]</w:t>
            </w:r>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color w:val="000000"/>
                <w:sz w:val="20"/>
              </w:rPr>
              <w:t>We agree that oxygen-reduction-limited dissolution is a model assumption (</w:t>
            </w:r>
            <w:proofErr w:type="spellStart"/>
            <w:r>
              <w:rPr>
                <w:color w:val="000000"/>
                <w:sz w:val="20"/>
              </w:rPr>
              <w:t>Eqs</w:t>
            </w:r>
            <w:proofErr w:type="spellEnd"/>
            <w:r>
              <w:rPr>
                <w:color w:val="000000"/>
                <w:sz w:val="20"/>
              </w:rPr>
              <w:t>. 1–2), so the Morris ranking alone cannot show that oxygen controls degradation. We now state oxygen control as the modelling premise, and the evidence that it works is the model's agreement with data it was not fitted to: (</w:t>
            </w:r>
            <w:proofErr w:type="spellStart"/>
            <w:r>
              <w:rPr>
                <w:color w:val="000000"/>
                <w:sz w:val="20"/>
              </w:rPr>
              <w:t>i</w:t>
            </w:r>
            <w:proofErr w:type="spellEnd"/>
            <w:r>
              <w:rPr>
                <w:color w:val="000000"/>
                <w:sz w:val="20"/>
              </w:rPr>
              <w:t xml:space="preserve">) the 28-day immersion data, which were not used in calibration, are reproduced with RMSE = 0.0159%; (ii) the stent prediction, made without recalibration, is consistent with reported in vivo mass loss (~6%). The model is also not forced into oxygen limitation: the recession velocity </w:t>
            </w:r>
            <w:proofErr w:type="spellStart"/>
            <w:r>
              <w:rPr>
                <w:color w:val="000000"/>
                <w:sz w:val="20"/>
              </w:rPr>
              <w:t>v_n</w:t>
            </w:r>
            <w:proofErr w:type="spellEnd"/>
            <w:r>
              <w:rPr>
                <w:color w:val="000000"/>
                <w:sz w:val="20"/>
              </w:rPr>
              <w:t xml:space="preserve"> = </w:t>
            </w:r>
            <w:proofErr w:type="gramStart"/>
            <w:r>
              <w:rPr>
                <w:color w:val="000000"/>
                <w:sz w:val="20"/>
              </w:rPr>
              <w:t>min(</w:t>
            </w:r>
            <w:proofErr w:type="spellStart"/>
            <w:proofErr w:type="gramEnd"/>
            <w:r>
              <w:rPr>
                <w:color w:val="000000"/>
                <w:sz w:val="20"/>
              </w:rPr>
              <w:t>v_Zn</w:t>
            </w:r>
            <w:proofErr w:type="spellEnd"/>
            <w:r>
              <w:rPr>
                <w:color w:val="000000"/>
                <w:sz w:val="20"/>
              </w:rPr>
              <w:t xml:space="preserve">, </w:t>
            </w:r>
            <w:proofErr w:type="spellStart"/>
            <w:r>
              <w:rPr>
                <w:color w:val="000000"/>
                <w:sz w:val="20"/>
              </w:rPr>
              <w:t>v_ORR</w:t>
            </w:r>
            <w:proofErr w:type="spellEnd"/>
            <w:r>
              <w:rPr>
                <w:color w:val="000000"/>
                <w:sz w:val="20"/>
              </w:rPr>
              <w:t xml:space="preserve">, v_O2) allows a reaction-limited stage, and the results show one at early times followed by a transition to transport control. The ablations (closed vs fixed-O₂ boundary, </w:t>
            </w:r>
            <w:proofErr w:type="spellStart"/>
            <w:r>
              <w:rPr>
                <w:color w:val="000000"/>
                <w:sz w:val="20"/>
              </w:rPr>
              <w:t>D_eff</w:t>
            </w:r>
            <w:proofErr w:type="spellEnd"/>
            <w:r>
              <w:rPr>
                <w:color w:val="000000"/>
                <w:sz w:val="20"/>
              </w:rPr>
              <w:t xml:space="preserve"> = D, </w:t>
            </w:r>
            <w:proofErr w:type="spellStart"/>
            <w:r>
              <w:rPr>
                <w:color w:val="000000"/>
                <w:sz w:val="20"/>
              </w:rPr>
              <w:t>k_f</w:t>
            </w:r>
            <w:proofErr w:type="spellEnd"/>
            <w:r>
              <w:rPr>
                <w:color w:val="000000"/>
                <w:sz w:val="20"/>
              </w:rPr>
              <w:t xml:space="preserve"> = 0) show how much each mechanism contributes. This agreement supports the </w:t>
            </w:r>
            <w:r>
              <w:rPr>
                <w:color w:val="000000"/>
                <w:sz w:val="20"/>
              </w:rPr>
              <w:lastRenderedPageBreak/>
              <w:t>assumption within the tested conditions (immersion in r-SBF/HBSS; disc and stent geometries); it does not prove oxygen control in vivo, and the limitations section states this.</w:t>
            </w:r>
          </w:p>
        </w:tc>
        <w:tc>
          <w:tcPr>
            <w:tcW w:w="1587" w:type="dxa"/>
          </w:tcPr>
          <w:p w14:paraId="25737791" w14:textId="77777777" w:rsidR="003F785C" w:rsidRDefault="00E9439A">
            <w:r>
              <w:rPr>
                <w:color w:val="000000"/>
                <w:sz w:val="20"/>
              </w:rPr>
              <w:lastRenderedPageBreak/>
              <w:t>Addressed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We have repeated the SA:V comparison with consistent, geometrically derived areas. The disc area from the mesh (219.9 mm²) matches the ideal 10 × 2 mm geometry to 0.1% (SA:V = 1.40 mm⁻¹), and the stent mesh gives a volume of 0.361 mm³ and a surface area of 19.46 mm² (SA:V = 53.9 mm⁻¹). The SA:V ratio of the stent to the disc is therefore 38.5. Scaling the 672 h disc mass loss (0.333% simulated, 0.311% measured) by this ratio gives an SA:V-extrapolated stent mass loss of 12.8% (model-based) or 12.0% (experiment-based). The mechanistic model predicts 6.0%, about half of this, because oxygen transport is restricted in the dense stent geometry: the mean penetration depth is about 1.1 µm for the stent against 2.4 µm for the disc. The SA:V scaling therefore overpredicts, and the mechanistic model adds information beyond bulk geometric scaling. The areas and SA:V in Table S4 have been corrected to the mesh-derived values. [Reconcile the stent corrosion rate (0.0596 mm/yr at 672 h) with the 6% mass loss: with the mesh area it implies about 0.015 mm/yr.]</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Addressed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Addressed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Addressed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Addressed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lastRenderedPageBreak/>
              <w:t>Addressed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color w:val="000000"/>
                <w:sz w:val="20"/>
              </w:rPr>
              <w:t xml:space="preserve">The implementation is mass-based. F and </w:t>
            </w:r>
            <w:proofErr w:type="spellStart"/>
            <w:r>
              <w:rPr>
                <w:color w:val="000000"/>
                <w:sz w:val="20"/>
              </w:rPr>
              <w:t>F_max</w:t>
            </w:r>
            <w:proofErr w:type="spellEnd"/>
            <w:r>
              <w:rPr>
                <w:color w:val="000000"/>
                <w:sz w:val="20"/>
              </w:rPr>
              <w:t xml:space="preserve"> are in g mm⁻³ (</w:t>
            </w:r>
            <w:proofErr w:type="spellStart"/>
            <w:r>
              <w:rPr>
                <w:color w:val="000000"/>
                <w:sz w:val="20"/>
              </w:rPr>
              <w:t>F_max</w:t>
            </w:r>
            <w:proofErr w:type="spellEnd"/>
            <w:r>
              <w:rPr>
                <w:color w:val="000000"/>
                <w:sz w:val="20"/>
              </w:rPr>
              <w:t xml:space="preserve"> = </w:t>
            </w:r>
            <w:proofErr w:type="spellStart"/>
            <w:r>
              <w:rPr>
                <w:color w:val="000000"/>
                <w:sz w:val="20"/>
              </w:rPr>
              <w:t>ρ_film</w:t>
            </w:r>
            <w:proofErr w:type="spellEnd"/>
            <w:r>
              <w:rPr>
                <w:color w:val="000000"/>
                <w:sz w:val="20"/>
              </w:rPr>
              <w:t xml:space="preserve">(1−ε)), and Cl⁻ enters the dissolution rate as a molar concentration (mol L⁻¹). The correct unit for </w:t>
            </w:r>
            <w:proofErr w:type="spellStart"/>
            <w:r>
              <w:rPr>
                <w:color w:val="000000"/>
                <w:sz w:val="20"/>
              </w:rPr>
              <w:t>k_d</w:t>
            </w:r>
            <w:proofErr w:type="spellEnd"/>
            <w:r>
              <w:rPr>
                <w:color w:val="000000"/>
                <w:sz w:val="20"/>
              </w:rPr>
              <w:t xml:space="preserve"> is therefore L² mol⁻² h⁻¹. The molar </w:t>
            </w:r>
            <w:proofErr w:type="spellStart"/>
            <w:r>
              <w:rPr>
                <w:color w:val="000000"/>
                <w:sz w:val="20"/>
              </w:rPr>
              <w:t>F_max</w:t>
            </w:r>
            <w:proofErr w:type="spellEnd"/>
            <w:r>
              <w:rPr>
                <w:color w:val="000000"/>
                <w:sz w:val="20"/>
              </w:rPr>
              <w:t xml:space="preserve"> expression and the mm⁶ g⁻² h⁻¹ unit in the manuscript were inconsistent with this and are being corrected [Eq. 11 text, Table 2, Table S5].</w:t>
            </w:r>
          </w:p>
        </w:tc>
        <w:tc>
          <w:tcPr>
            <w:tcW w:w="1587" w:type="dxa"/>
          </w:tcPr>
          <w:p w14:paraId="06DF3BC0" w14:textId="77777777" w:rsidR="003F785C" w:rsidRDefault="00E9439A">
            <w:r>
              <w:rPr>
                <w:color w:val="000000"/>
                <w:sz w:val="20"/>
              </w:rPr>
              <w:t>In progress</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color w:val="000000"/>
                <w:sz w:val="20"/>
              </w:rPr>
              <w:t xml:space="preserve">The exponent of </w:t>
            </w:r>
            <w:proofErr w:type="spellStart"/>
            <w:r>
              <w:rPr>
                <w:color w:val="000000"/>
                <w:sz w:val="20"/>
              </w:rPr>
              <w:t>C_Cl</w:t>
            </w:r>
            <w:proofErr w:type="spellEnd"/>
            <w:r>
              <w:rPr>
                <w:color w:val="000000"/>
                <w:sz w:val="20"/>
              </w:rPr>
              <w:t xml:space="preserve"> in Eq. 11 is an effective reaction order, not the stoichiometric one: Eq. 5 is an overall reaction and the dissolution of </w:t>
            </w:r>
            <w:proofErr w:type="spellStart"/>
            <w:r>
              <w:rPr>
                <w:color w:val="000000"/>
                <w:sz w:val="20"/>
              </w:rPr>
              <w:t>ZnO</w:t>
            </w:r>
            <w:proofErr w:type="spellEnd"/>
            <w:r>
              <w:rPr>
                <w:color w:val="000000"/>
                <w:sz w:val="20"/>
              </w:rPr>
              <w:t xml:space="preserve"> into chloro-complexes proceeds in steps, so the rate order need not equal the stoichiometric coefficient. A second-order dependence is used as a reduced-order description [rationale/reference to be given]. Cl⁻ is not catalytic in a strict sense: Eq. 5 consumes four Cl⁻ per </w:t>
            </w:r>
            <w:proofErr w:type="spellStart"/>
            <w:r>
              <w:rPr>
                <w:color w:val="000000"/>
                <w:sz w:val="20"/>
              </w:rPr>
              <w:t>ZnO</w:t>
            </w:r>
            <w:proofErr w:type="spellEnd"/>
            <w:r>
              <w:rPr>
                <w:color w:val="000000"/>
                <w:sz w:val="20"/>
              </w:rPr>
              <w:t xml:space="preserve">.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w:t>
            </w:r>
            <w:proofErr w:type="gramStart"/>
            <w:r>
              <w:rPr>
                <w:color w:val="000000"/>
                <w:sz w:val="20"/>
              </w:rPr>
              <w:t>by</w:t>
            </w:r>
            <w:proofErr w:type="gramEnd"/>
            <w:r>
              <w:rPr>
                <w:color w:val="000000"/>
                <w:sz w:val="20"/>
              </w:rPr>
              <w:t xml:space="preserve"> 'effectively non-consumed' and note this approximation.</w:t>
            </w:r>
          </w:p>
        </w:tc>
        <w:tc>
          <w:tcPr>
            <w:tcW w:w="1587" w:type="dxa"/>
          </w:tcPr>
          <w:p w14:paraId="391612AE" w14:textId="77777777" w:rsidR="003F785C" w:rsidRDefault="00E9439A">
            <w:r>
              <w:rPr>
                <w:color w:val="000000"/>
                <w:sz w:val="20"/>
              </w:rPr>
              <w:t>In progress</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color w:val="000000"/>
                <w:sz w:val="20"/>
              </w:rPr>
              <w:t xml:space="preserve">The film is a </w:t>
            </w:r>
            <w:proofErr w:type="spellStart"/>
            <w:r>
              <w:rPr>
                <w:color w:val="000000"/>
                <w:sz w:val="20"/>
              </w:rPr>
              <w:t>homogenised</w:t>
            </w:r>
            <w:proofErr w:type="spellEnd"/>
            <w:r>
              <w:rPr>
                <w:color w:val="000000"/>
                <w:sz w:val="20"/>
              </w:rPr>
              <w:t xml:space="preserve">, volumetric field on a fixed mesh: it forms wherever dissolved Zn²⁺ is present on the electrolyte side of the level set and reduces local diffusivity (Eq. 12). It is not attached to the receding interface, and the level set advances independently of F. The </w:t>
            </w:r>
            <w:proofErr w:type="spellStart"/>
            <w:r>
              <w:rPr>
                <w:color w:val="000000"/>
                <w:sz w:val="20"/>
              </w:rPr>
              <w:t>ZnO</w:t>
            </w:r>
            <w:proofErr w:type="spellEnd"/>
            <w:r>
              <w:rPr>
                <w:color w:val="000000"/>
                <w:sz w:val="20"/>
              </w:rPr>
              <w:t xml:space="preserve">/Zn volume ratio (about 1.6) is not represented, so the film does not displace the interface or expand into the volume of lost metal. This is a limitation of the model, now stated in the Limitations section. Its effect is bounded by </w:t>
            </w:r>
            <w:proofErr w:type="spellStart"/>
            <w:r>
              <w:rPr>
                <w:color w:val="000000"/>
                <w:sz w:val="20"/>
              </w:rPr>
              <w:t>F_max</w:t>
            </w:r>
            <w:proofErr w:type="spellEnd"/>
            <w:r>
              <w:rPr>
                <w:color w:val="000000"/>
                <w:sz w:val="20"/>
              </w:rPr>
              <w:t xml:space="preserve"> and the porosity ε, which cap the local film density.</w:t>
            </w:r>
          </w:p>
        </w:tc>
        <w:tc>
          <w:tcPr>
            <w:tcW w:w="1587" w:type="dxa"/>
          </w:tcPr>
          <w:p w14:paraId="057CFF9F" w14:textId="77777777" w:rsidR="003F785C" w:rsidRDefault="00E9439A">
            <w:r>
              <w:rPr>
                <w:color w:val="000000"/>
                <w:sz w:val="20"/>
              </w:rPr>
              <w:t>Addressed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color w:val="000000"/>
                <w:sz w:val="20"/>
              </w:rPr>
              <w:t xml:space="preserve">The ORR terms use a sharp surface integral over the </w:t>
            </w:r>
            <w:proofErr w:type="gramStart"/>
            <w:r>
              <w:rPr>
                <w:color w:val="000000"/>
                <w:sz w:val="20"/>
              </w:rPr>
              <w:t>zero level</w:t>
            </w:r>
            <w:proofErr w:type="gramEnd"/>
            <w:r>
              <w:rPr>
                <w:color w:val="000000"/>
                <w:sz w:val="20"/>
              </w:rPr>
              <w:t xml:space="preserve"> set of the P1-interpolated signed-distance function (</w:t>
            </w:r>
            <w:proofErr w:type="spellStart"/>
            <w:r>
              <w:rPr>
                <w:color w:val="000000"/>
                <w:sz w:val="20"/>
              </w:rPr>
              <w:t>FreeFEM</w:t>
            </w:r>
            <w:proofErr w:type="spellEnd"/>
            <w:r>
              <w:rPr>
                <w:color w:val="000000"/>
                <w:sz w:val="20"/>
              </w:rPr>
              <w:t xml:space="preserve"> int2d with the </w:t>
            </w:r>
            <w:proofErr w:type="spellStart"/>
            <w:r>
              <w:rPr>
                <w:color w:val="000000"/>
                <w:sz w:val="20"/>
              </w:rPr>
              <w:t>levelset</w:t>
            </w:r>
            <w:proofErr w:type="spellEnd"/>
            <w:r>
              <w:rPr>
                <w:color w:val="000000"/>
                <w:sz w:val="20"/>
              </w:rPr>
              <w:t xml:space="preserve"> option), so there is no smoothing parameter in the reaction terms. A smoothed delta function, δ = (1 − tanh²(φ/</w:t>
            </w:r>
            <w:proofErr w:type="spellStart"/>
            <w:r>
              <w:rPr>
                <w:color w:val="000000"/>
                <w:sz w:val="20"/>
              </w:rPr>
              <w:t>ε_δ</w:t>
            </w:r>
            <w:proofErr w:type="spellEnd"/>
            <w:r>
              <w:rPr>
                <w:color w:val="000000"/>
                <w:sz w:val="20"/>
              </w:rPr>
              <w:t xml:space="preserve">))/(2ε_δ) with </w:t>
            </w:r>
            <w:proofErr w:type="spellStart"/>
            <w:r>
              <w:rPr>
                <w:color w:val="000000"/>
                <w:sz w:val="20"/>
              </w:rPr>
              <w:t>ε_δ</w:t>
            </w:r>
            <w:proofErr w:type="spellEnd"/>
            <w:r>
              <w:rPr>
                <w:color w:val="000000"/>
                <w:sz w:val="20"/>
              </w:rPr>
              <w:t xml:space="preserve"> equal to the minimum mesh size, is used only in post-processing to average quantities over the interface. We now state this in the Methods.</w:t>
            </w:r>
          </w:p>
        </w:tc>
        <w:tc>
          <w:tcPr>
            <w:tcW w:w="1587" w:type="dxa"/>
          </w:tcPr>
          <w:p w14:paraId="6D6F831A" w14:textId="77777777" w:rsidR="003F785C" w:rsidRDefault="00E9439A">
            <w:r>
              <w:rPr>
                <w:color w:val="000000"/>
                <w:sz w:val="20"/>
              </w:rPr>
              <w:t>Addressed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color w:val="000000"/>
                <w:sz w:val="20"/>
              </w:rPr>
              <w:t>We agree that 'low-dimensional' is misleading next to a mesh of 18.9 million elements, and we have removed it, together with the 'three effective kinetic parameters' wording, from the Abstract. Parameter count and mesh size are separate: only three kinetic parameters are calibrated, but each simulation is a full 3D calculation. The 18.9-million-element mesh is used only for the final validation simulation (68.9 h on 50 cores, Table S4). Calibration used a 0.8-million-element mesh (about 2 h per simulation) mapped to the fine mesh with 0.004% error. We agree that disc transport is predominantly one-dimensional and that an axisymmetric model would be cheaper for calibration. We kept the 3D formulation so that calibration and the stent prediction use the identical model and mesh pipeline. [Add an axisymmetric check here if run.]</w:t>
            </w:r>
          </w:p>
        </w:tc>
        <w:tc>
          <w:tcPr>
            <w:tcW w:w="1587" w:type="dxa"/>
          </w:tcPr>
          <w:p w14:paraId="2243CAB6" w14:textId="77777777" w:rsidR="003F785C" w:rsidRDefault="00E9439A">
            <w:r>
              <w:rPr>
                <w:color w:val="000000"/>
                <w:sz w:val="20"/>
              </w:rPr>
              <w:t>Addressed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color w:val="000000"/>
                <w:sz w:val="20"/>
              </w:rPr>
              <w:t xml:space="preserve">The sweeps in the original Fig. 4 used </w:t>
            </w:r>
            <w:proofErr w:type="spellStart"/>
            <w:r>
              <w:rPr>
                <w:color w:val="000000"/>
                <w:sz w:val="20"/>
              </w:rPr>
              <w:t>k_f</w:t>
            </w:r>
            <w:proofErr w:type="spellEnd"/>
            <w:r>
              <w:rPr>
                <w:color w:val="000000"/>
                <w:sz w:val="20"/>
              </w:rPr>
              <w:t xml:space="preserve"> = 100, </w:t>
            </w:r>
            <w:proofErr w:type="spellStart"/>
            <w:r>
              <w:rPr>
                <w:color w:val="000000"/>
                <w:sz w:val="20"/>
              </w:rPr>
              <w:t>k_d</w:t>
            </w:r>
            <w:proofErr w:type="spellEnd"/>
            <w:r>
              <w:rPr>
                <w:color w:val="000000"/>
                <w:sz w:val="20"/>
              </w:rPr>
              <w:t xml:space="preserve"> = 30 and </w:t>
            </w:r>
            <w:proofErr w:type="spellStart"/>
            <w:r>
              <w:rPr>
                <w:color w:val="000000"/>
                <w:sz w:val="20"/>
              </w:rPr>
              <w:t>k_ORR</w:t>
            </w:r>
            <w:proofErr w:type="spellEnd"/>
            <w:r>
              <w:rPr>
                <w:color w:val="000000"/>
                <w:sz w:val="20"/>
              </w:rPr>
              <w:t xml:space="preserve"> = 1.0, not the </w:t>
            </w:r>
            <w:proofErr w:type="spellStart"/>
            <w:r>
              <w:rPr>
                <w:color w:val="000000"/>
                <w:sz w:val="20"/>
              </w:rPr>
              <w:t>optimised</w:t>
            </w:r>
            <w:proofErr w:type="spellEnd"/>
            <w:r>
              <w:rPr>
                <w:color w:val="000000"/>
                <w:sz w:val="20"/>
              </w:rPr>
              <w:t xml:space="preserve"> Table 2 values, which is why the baseline gave 0.39% at 168 h against about 0.19% in Fig. 5a. We have repeated the sweeps around the calibrated baseline, varying each parameter by the same </w:t>
            </w:r>
            <w:proofErr w:type="gramStart"/>
            <w:r>
              <w:rPr>
                <w:color w:val="000000"/>
                <w:sz w:val="20"/>
              </w:rPr>
              <w:t>fold-change</w:t>
            </w:r>
            <w:proofErr w:type="gramEnd"/>
            <w:r>
              <w:rPr>
                <w:color w:val="000000"/>
                <w:sz w:val="20"/>
              </w:rPr>
              <w:t xml:space="preserve"> (×0.5 and ×2) with the other parameters fixed. The baseline curve now coincides with the calibrated simulation in Fig. 5a. [Insert the updated Fig. 4 and the revised 168 h mass-loss changes once the runs are complete.]</w:t>
            </w:r>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1825402F" w14:textId="77777777" w:rsidR="003F785C" w:rsidRDefault="00E9439A">
            <w:r>
              <w:rPr>
                <w:color w:val="000000"/>
                <w:sz w:val="20"/>
              </w:rPr>
              <w:t>Addressed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color w:val="808080"/>
                <w:sz w:val="20"/>
              </w:rPr>
              <w:t>[To be completed]</w:t>
            </w:r>
          </w:p>
        </w:tc>
        <w:tc>
          <w:tcPr>
            <w:tcW w:w="1587" w:type="dxa"/>
          </w:tcPr>
          <w:p w14:paraId="0F38CB99" w14:textId="77777777" w:rsidR="003F785C" w:rsidRDefault="00E9439A">
            <w:r>
              <w:rPr>
                <w:sz w:val="20"/>
              </w:rPr>
              <w:t>Open</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color w:val="000000"/>
                <w:sz w:val="20"/>
              </w:rPr>
              <w:lastRenderedPageBreak/>
              <w:t xml:space="preserve">The 13.2× is the ratio of outer (3.72 µm) to </w:t>
            </w:r>
            <w:r>
              <w:rPr>
                <w:color w:val="000000"/>
                <w:sz w:val="20"/>
              </w:rPr>
              <w:lastRenderedPageBreak/>
              <w:t xml:space="preserve">inner (0.28 µm) recession for the 150° arc. Its denominator is far below the interface element size, so the ratio is poorly constrained and should not be compared numerically across geometries. We now report the absolute outer–inner difference (3.4 µm for the 150° arc) alongside the </w:t>
            </w:r>
            <w:proofErr w:type="gramStart"/>
            <w:r>
              <w:rPr>
                <w:color w:val="000000"/>
                <w:sz w:val="20"/>
              </w:rPr>
              <w:t>ratio, and</w:t>
            </w:r>
            <w:proofErr w:type="gramEnd"/>
            <w:r>
              <w:rPr>
                <w:color w:val="000000"/>
                <w:sz w:val="20"/>
              </w:rPr>
              <w:t xml:space="preserve"> note that the inner depth is not resolved. The stent crown (Fig. 7d) gives 8.55 µm outer and 4.76 µm inner (1.8×, a 3.8 µm difference). The two are not directly comparable because the isolated 150° arc (radius 0.63 mm) confines its inner side far more strongly than the stent crown, so the inner surface is almost fully shielded from oxygen. [Confirm that Fig. 8d's inner and outer depths are taken at the arc apex, as in Fig. 7d.]</w:t>
            </w:r>
          </w:p>
        </w:tc>
        <w:tc>
          <w:tcPr>
            <w:tcW w:w="1587" w:type="dxa"/>
          </w:tcPr>
          <w:p w14:paraId="00430183" w14:textId="77777777" w:rsidR="003F785C" w:rsidRDefault="00E9439A">
            <w:r>
              <w:rPr>
                <w:color w:val="000000"/>
                <w:sz w:val="20"/>
              </w:rPr>
              <w:lastRenderedPageBreak/>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Addressed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color w:val="000000"/>
                <w:sz w:val="20"/>
              </w:rPr>
              <w:t>We have reconciled the two statements by giving the cost where each is used. Calibration is tractable because only three parameters are calibrated, on a coarse mesh at about 2 h per 3D simulation (Table S4). The high-fidelity validation and stent simulations remain computationally demanding, at about 69 h on 50–64 cores for 672 h on a 19–21 million-element mesh (Table S4). The Results now describe the calibration as tractable and cite the cost, and the Discussion states the high-fidelity cost explicitly.</w:t>
            </w:r>
          </w:p>
        </w:tc>
        <w:tc>
          <w:tcPr>
            <w:tcW w:w="1587" w:type="dxa"/>
          </w:tcPr>
          <w:p w14:paraId="30D86505" w14:textId="77777777" w:rsidR="003F785C" w:rsidRDefault="00E9439A">
            <w:r>
              <w:rPr>
                <w:color w:val="000000"/>
                <w:sz w:val="20"/>
              </w:rPr>
              <w:t>Addressed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color w:val="000000"/>
                <w:sz w:val="20"/>
              </w:rPr>
              <w:t>The section headings in the Word submission file are numbered automatically (multilevel list tied to the heading styles: 1 Introduction, 2 Methods, 3 Results and Discussion, 4 Conclusions). 'Section 2.3' is Methods 2.3, Numerical Implementation and Simulation Setup, which is where the meshing and numerical procedures are described, so the cross-reference is correct. The numbers were probably lost in the version the reviewer saw. We have checked that they appear in the exported submission PDF. The 'Sections 1 and 2' in Fig. 7 refer to the two stent cross-sections, not manuscript sections.</w:t>
            </w:r>
          </w:p>
        </w:tc>
        <w:tc>
          <w:tcPr>
            <w:tcW w:w="1587" w:type="dxa"/>
          </w:tcPr>
          <w:p w14:paraId="41368520" w14:textId="77777777" w:rsidR="003F785C" w:rsidRDefault="00E9439A">
            <w:r>
              <w:rPr>
                <w:color w:val="000000"/>
                <w:sz w:val="20"/>
              </w:rPr>
              <w:t>Addressed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color w:val="000000"/>
                <w:sz w:val="20"/>
              </w:rPr>
              <w:t>Fixed: 'a R²' is now 'an R²', and 'shown in (Figure 4g–</w:t>
            </w:r>
            <w:proofErr w:type="spellStart"/>
            <w:r>
              <w:rPr>
                <w:color w:val="000000"/>
                <w:sz w:val="20"/>
              </w:rPr>
              <w:t>i</w:t>
            </w:r>
            <w:proofErr w:type="spellEnd"/>
            <w:r>
              <w:rPr>
                <w:color w:val="000000"/>
                <w:sz w:val="20"/>
              </w:rPr>
              <w:t>)' is now 'shown in Figure 4g–</w:t>
            </w:r>
            <w:proofErr w:type="spellStart"/>
            <w:r>
              <w:rPr>
                <w:color w:val="000000"/>
                <w:sz w:val="20"/>
              </w:rPr>
              <w:t>i</w:t>
            </w:r>
            <w:proofErr w:type="spellEnd"/>
            <w:r>
              <w:rPr>
                <w:color w:val="000000"/>
                <w:sz w:val="20"/>
              </w:rPr>
              <w:t xml:space="preserve">'. The </w:t>
            </w:r>
            <w:proofErr w:type="spellStart"/>
            <w:r>
              <w:rPr>
                <w:color w:val="000000"/>
                <w:sz w:val="20"/>
              </w:rPr>
              <w:t>capitalised</w:t>
            </w:r>
            <w:proofErr w:type="spellEnd"/>
            <w:r>
              <w:rPr>
                <w:color w:val="000000"/>
                <w:sz w:val="20"/>
              </w:rPr>
              <w:t xml:space="preserve"> 'Literature' in the text is inside the title of a cited reference (Tortuosity-Porosity Relationships: Review of Empirical Data from Literature), where title-case </w:t>
            </w:r>
            <w:proofErr w:type="spellStart"/>
            <w:r>
              <w:rPr>
                <w:color w:val="000000"/>
                <w:sz w:val="20"/>
              </w:rPr>
              <w:t>capitalisation</w:t>
            </w:r>
            <w:proofErr w:type="spellEnd"/>
            <w:r>
              <w:rPr>
                <w:color w:val="000000"/>
                <w:sz w:val="20"/>
              </w:rPr>
              <w:t xml:space="preserve"> is correct, so it was left unchanged. The mid-sentence 'literature' in the Zn²⁺/pH paragraph was already lower-case.</w:t>
            </w:r>
          </w:p>
        </w:tc>
        <w:tc>
          <w:tcPr>
            <w:tcW w:w="1587" w:type="dxa"/>
          </w:tcPr>
          <w:p w14:paraId="3AB79C96" w14:textId="77777777" w:rsidR="003F785C" w:rsidRDefault="00E9439A">
            <w:r>
              <w:rPr>
                <w:color w:val="000000"/>
                <w:sz w:val="20"/>
              </w:rPr>
              <w:t>Addressed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Addressed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Addressed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Addressed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Addressed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color w:val="000000"/>
                <w:sz w:val="20"/>
              </w:rPr>
              <w:t xml:space="preserve">The </w:t>
            </w:r>
            <w:proofErr w:type="spellStart"/>
            <w:r>
              <w:rPr>
                <w:color w:val="000000"/>
                <w:sz w:val="20"/>
              </w:rPr>
              <w:t>Damköhler</w:t>
            </w:r>
            <w:proofErr w:type="spellEnd"/>
            <w:r>
              <w:rPr>
                <w:color w:val="000000"/>
                <w:sz w:val="20"/>
              </w:rPr>
              <w:t xml:space="preserve"> number is defined in the Supplementary Information (Eq. S3, Section </w:t>
            </w:r>
            <w:r>
              <w:rPr>
                <w:color w:val="000000"/>
                <w:sz w:val="20"/>
              </w:rPr>
              <w:lastRenderedPageBreak/>
              <w:t>S1) as the ratio of oxygen consumption by the ORR to oxygen transport to the surface, Da = k_ORR·C_O2 / (D_O</w:t>
            </w:r>
            <w:proofErr w:type="gramStart"/>
            <w:r>
              <w:rPr>
                <w:color w:val="000000"/>
                <w:sz w:val="20"/>
              </w:rPr>
              <w:t>2,eff</w:t>
            </w:r>
            <w:proofErr w:type="gramEnd"/>
            <w:r>
              <w:rPr>
                <w:color w:val="000000"/>
                <w:sz w:val="20"/>
              </w:rPr>
              <w:t xml:space="preserve"> ∇C_O2·n). The transition criterion is also given there: Da &lt; 1 indicates reaction-controlled corrosion and Da &gt; 1 diffusion-controlled corrosion, and the transition is the point where Da crosses 1 (about 40 h for the disc). The main text cites this definition in the Methods (Equation S3) and Section S1 for the transition between regimes.</w:t>
            </w:r>
          </w:p>
        </w:tc>
        <w:tc>
          <w:tcPr>
            <w:tcW w:w="1587" w:type="dxa"/>
          </w:tcPr>
          <w:p w14:paraId="327460E0" w14:textId="77777777" w:rsidR="003F785C" w:rsidRDefault="00E9439A">
            <w:r>
              <w:rPr>
                <w:color w:val="000000"/>
                <w:sz w:val="20"/>
              </w:rPr>
              <w:lastRenderedPageBreak/>
              <w:t>Addressed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