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The near-linear dependence of mass loss on SA:V is expected and is reported in the literature, so a similar or higher SA:V-scaled value is not evidence against the model. The model's added value is that transport control reduces the overall stent mass loss only moderately relative to this scaling (6.0% vs 12.8%) but changes where material is lost strongly: recession is concentrated on the oxygen-accessible outer surface and suppressed in the confined regions (Figs. 7–8), which SA:V scaling cannot capture.</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spatial distribution of degradation is the main added value of the model. It is shown by the individual simulations (Figs. 7 and 8), each compared with its baseline: the six-crown stent against the disc (Fig. 6) and the curved and spaced structures against the straight, widely spaced reference (Fig. 8). The baseline comparisons show that global mass loss changes only modestly, whereas the spatial distribution of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 The reference list now also cites the Yang et al. study, which supplied the in vivo mass-loss comparison, in addition to the review.</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Eq. 11 text now defines F_max on this mass basis, and Table 2 and Table S5 now give k_d in L² mol⁻² h⁻¹.</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(empirical) reaction order, not the stoichiometric one, since Eq. 5 is an overall reaction and the dissolution is not an elementary step. The manuscript now states this, and k_d is a calibrated effective coefficient with units L² mol⁻² h⁻¹. Cl⁻ is treated as conserved (Eq. 8 has no sink) because it is in large excess (142.3 mmol L⁻¹): the upper-bound consumption is about 6% for the disc and below 1% for the stent. ‘Catalytic’ has been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run on 4 cores), corrected to the fine mesh with a linear bias correction (r = 0.9986; Methods 2.4). An axisymmetric model would be cheaper for calibration, but the 3D formulation was kept so that calibration and the stent prediction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size is 5 µm (minimum element size 0.005 mm, Table S4), comparable to the 3–8 µm local recession (about one element). This does not make the results noise, for three reasons. First, the interface is not a mesh feature: it is the zero contour of the P1 signed-distance function, which is located by interpolation inside elements, so recession smaller than one element is still represented in the interface position. Second, the quantities used for the conclusions are integrated: mass loss and mean penetration are mesh-converged (&lt;1%, Section S2), and the geometry effects rest on outer/inner differences of several µm, which exceed the element size. Third, the sub-element roughness in the local profiles of Fig. 7a is at the discretisation scale and is not interpreted physically.</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