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size is 5 µm (minimum element size 0.005 mm, Table S4), comparable to the 3–8 µm local recession (about one element). This does not make the results noise, for three reasons. First, the interface is not a mesh feature: it is the zero contour of the P1 signed-distance function, which is located by interpolation inside elements, so recession smaller than one element is still represented in the interface position. Second, the quantities used for the conclusions are integrated: mass loss and mean penetration are mesh-converged (&lt;1%, Section S2), and the geometry effects rest on outer/inner differences of several µm, which exceed the element size. Third, the sub-element roughness in the local profiles of Fig. 7a is at the discretisation scale and is not interpreted physically.</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8.55 and 4.76 µm). The 13.2× has a very small denominator (0.28 µm, below the interface mesh size), so it is poorly constrained, and the absolute differences are similar (3.4 µm for the arc, 3.8 µm for the crown). The ratios also differ in geometry: the isolated 150° arc (radius 0.63 mm) confines its inner side more strongly than the crown within the stent.</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The balance resolution was 0.1 mg. Blank cleaning controls were not performed; however, all samples were cleaned using the same protocol (chromic acid at room temperature for 10 min), minimizing systematic bias between groups. The 0.1 mg resolution is small relative to the measured mass losses, and the experimental scatter (SD = 0.115% at 28 days, n = 3) is much larger than the balance resolution. The absence of blank controls means any cleaning-induced loss of bare Zn is not quantified separately.</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The corrosion products were removed with chromic acid at room temperature for 10 min. The discs were immersed lying flat (horizontal orientation). No CO₂ incubator was used; the immersion was static at 37 °C. The HBSS pH was 7.4 and is now stated in the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