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65BA2387" w14:textId="77777777" w:rsidR="003F785C" w:rsidRDefault="00E9439A">
      <w:pPr>
        <w:spacing w:after="40"/>
      </w:pPr>
      <w:r>
        <w:t>Note: the model has been revised (v4: conservative interface coupling, open top boundary). Rows marked In progress contain numbers from the earlier calibration and will be updated after the v4 reruns.</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0.009 mm yr⁻¹ used molar C_O₂, but the solver uses mass concentration (≈32× higher). Eqs. 15–16 now include M_O₂ explicitly. Corrected ceiling: 0.29 mm yr⁻¹, above the simulated 0.12 and 0.155 mm yr⁻¹. The error was in the printed equations,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In progress</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Simulated rates (0.12 and 0.155 mm yr⁻¹) are below the corrected ceiling.</w:t>
            </w:r>
          </w:p>
        </w:tc>
        <w:tc>
          <w:tcPr>
            <w:tcW w:w="1587" w:type="dxa"/>
          </w:tcPr>
          <w:p w14:paraId="7DFA5F15" w14:textId="77777777" w:rsidR="00660073" w:rsidRDefault="00000000">
            <w:r>
              <w:rPr>
                <w:sz w:val="20"/>
              </w:rPr>
              <w:t>In progress</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recomputed around k_ORR = 0.5 (sweep 0.1–2.5). Ceilings at 168 h (0.15, 0.75, 3.75%) exceed simulated mass losses (0.04, 0.20, 0.63%).</w:t>
            </w:r>
            <w:proofErr w:type="spellStart"/>
            <w:proofErr w:type="spellEnd"/>
          </w:p>
        </w:tc>
        <w:tc>
          <w:tcPr>
            <w:tcW w:w="1587" w:type="dxa"/>
          </w:tcPr>
          <w:p w14:paraId="43BEC15B" w14:textId="77777777" w:rsidR="00660073" w:rsidRDefault="00000000">
            <w:r>
              <w:rPr>
                <w:sz w:val="20"/>
              </w:rPr>
              <w:t>In progress</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gives O₂ consumed of ~1/32 (24 h) and ~1/24 (168 h) of the stoichiometric need, i.e. about 1/M_O₂ (M_O₂ = 32 g mol⁻¹), because the solver omitted the 1/M_O₂ factor. Eqs. 15–16 now include M_O₂ explicitly, so recession is not stoichiometrically coupled to O₂ consumption in the present formulation.</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right for Eq. 15 as originally printed (see A1.1); Eqs. 15–16 are now corrected.</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t>The Fig. 5c label was wrong: the colour bar is F (g mm⁻³), not F/F_max. Maximum F/F_max = 0.713, so D_eff/D = 0.376 (62% reduction). Label, caption and text corrected.</w:t>
            </w:r>
            <w:proofErr w:type="spellStart"/>
            <w:r w:rsidRPr="00555FC1">
              <w:rPr>
                <w:color w:val="000000"/>
                <w:sz w:val="20"/>
              </w:rPr>
            </w:r>
            <w:proofErr w:type="spellEnd"/>
            <w:r w:rsidRPr="00555FC1">
              <w:rPr>
                <w:color w:val="000000"/>
                <w:sz w:val="20"/>
              </w:rPr>
            </w:r>
            <w:proofErr w:type="spellStart"/>
            <w:r w:rsidRPr="00555FC1">
              <w:rPr>
                <w:color w:val="000000"/>
                <w:sz w:val="20"/>
              </w:rPr>
            </w:r>
            <w:proofErr w:type="spellEnd"/>
            <w:r w:rsidRPr="00555FC1">
              <w:rPr>
                <w:color w:val="000000"/>
                <w:sz w:val="20"/>
              </w:rPr>
            </w:r>
            <w:r w:rsidRPr="00555FC1">
              <w:rPr>
                <w:color w:val="000000"/>
                <w:sz w:val="20"/>
              </w:rPr>
            </w:r>
          </w:p>
        </w:tc>
        <w:tc>
          <w:tcPr>
            <w:tcW w:w="1587" w:type="dxa"/>
          </w:tcPr>
          <w:p w14:paraId="5B1177A6" w14:textId="77777777" w:rsidR="00660073" w:rsidRDefault="00000000">
            <w:r>
              <w:rPr>
                <w:sz w:val="20"/>
              </w:rPr>
              <w:t>In progress</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The small k_f effect reflects saturation. Removing corrosion-product formation raises 672 h mass loss from 0.33% to 0.74%, so its influence is substantial.</w:t>
            </w:r>
            <w:proofErr w:type="spellStart"/>
            <w:r w:rsidRPr="00646011">
              <w:rPr>
                <w:color w:val="000000"/>
                <w:sz w:val="20"/>
              </w:rPr>
            </w:r>
            <w:proofErr w:type="spellEnd"/>
            <w:r w:rsidRPr="00646011">
              <w:rPr>
                <w:color w:val="000000"/>
                <w:sz w:val="20"/>
              </w:rPr>
            </w:r>
            <w:r>
              <w:rPr>
                <w:color w:val="000000"/>
                <w:sz w:val="20"/>
              </w:rPr>
            </w:r>
            <w:r w:rsidRPr="00646011">
              <w:rPr>
                <w:color w:val="000000"/>
                <w:sz w:val="20"/>
              </w:rPr>
            </w:r>
            <w:proofErr w:type="gramStart"/>
            <w:r w:rsidRPr="00646011">
              <w:rPr>
                <w:color w:val="000000"/>
                <w:sz w:val="20"/>
              </w:rPr>
            </w:r>
            <w:proofErr w:type="gramEnd"/>
            <w:r w:rsidRPr="00646011">
              <w:rPr>
                <w:color w:val="000000"/>
                <w:sz w:val="20"/>
              </w:rPr>
            </w:r>
          </w:p>
        </w:tc>
        <w:tc>
          <w:tcPr>
            <w:tcW w:w="1587" w:type="dxa"/>
          </w:tcPr>
          <w:p w14:paraId="2CA1240D" w14:textId="77777777" w:rsidR="00660073" w:rsidRDefault="00000000">
            <w:r>
              <w:rPr>
                <w:sz w:val="20"/>
              </w:rPr>
              <w:t>In progress</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 5c shows a diffuse, volumetric corrosion-product field, not a surface film. The Results and captions use “corrosion product”.</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O₂ depletion contributes but does not explain the deceleration alone. Removing the corrosion-product effect changes the time exponent from 0.4 to 0.69 and raises 672 h mass loss from 0.333% to 0.744%.</w:t>
            </w:r>
            <w:r w:rsidRPr="00646011">
              <w:rPr>
                <w:color w:val="000000"/>
                <w:sz w:val="20"/>
              </w:rPr>
            </w:r>
            <w:r w:rsidRPr="00646011">
              <w:rPr>
                <w:color w:val="000000"/>
                <w:sz w:val="20"/>
              </w:rPr>
            </w:r>
            <w:r>
              <w:rPr>
                <w:color w:val="000000"/>
                <w:sz w:val="20"/>
              </w:rPr>
            </w:r>
            <w:r w:rsidRPr="00646011">
              <w:rPr>
                <w:color w:val="000000"/>
                <w:sz w:val="20"/>
              </w:rPr>
            </w:r>
            <w:r w:rsidRPr="00646011">
              <w:rPr>
                <w:color w:val="000000"/>
                <w:sz w:val="20"/>
              </w:rPr>
            </w:r>
            <w:r w:rsidRPr="00646011">
              <w:rPr>
                <w:color w:val="000000"/>
                <w:sz w:val="20"/>
              </w:rPr>
            </w:r>
          </w:p>
        </w:tc>
        <w:tc>
          <w:tcPr>
            <w:tcW w:w="1587" w:type="dxa"/>
          </w:tcPr>
          <w:p w14:paraId="34E05D6A" w14:textId="77777777" w:rsidR="00660073" w:rsidRDefault="00000000">
            <w:r>
              <w:rPr>
                <w:sz w:val="20"/>
              </w:rPr>
              <w:t>In progress</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The deceleration has two contributors: O₂ depletion and corrosion-product accumulation. Setting D_eff = D raises 672 h mass loss from 0.333% to 0.744% (k_f = 0: 0.730%).</w:t>
            </w:r>
            <w:proofErr w:type="spellStart"/>
            <w:r w:rsidRPr="00CA6A0B">
              <w:rPr>
                <w:color w:val="000000"/>
                <w:sz w:val="20"/>
              </w:rPr>
            </w:r>
            <w:proofErr w:type="spellEnd"/>
            <w:r>
              <w:rPr>
                <w:color w:val="000000"/>
                <w:sz w:val="20"/>
              </w:rPr>
            </w:r>
            <w:r w:rsidRPr="00CA6A0B">
              <w:rPr>
                <w:color w:val="000000"/>
                <w:sz w:val="20"/>
              </w:rPr>
            </w:r>
            <w:proofErr w:type="gramStart"/>
            <w:r w:rsidRPr="00CA6A0B">
              <w:rPr>
                <w:color w:val="000000"/>
                <w:sz w:val="20"/>
              </w:rPr>
            </w:r>
            <w:proofErr w:type="gramEnd"/>
            <w:r w:rsidRPr="00CA6A0B">
              <w:rPr>
                <w:color w:val="000000"/>
                <w:sz w:val="20"/>
              </w:rPr>
            </w:r>
            <w:proofErr w:type="spellStart"/>
            <w:r w:rsidRPr="00CA6A0B">
              <w:rPr>
                <w:color w:val="000000"/>
                <w:sz w:val="20"/>
              </w:rPr>
            </w:r>
            <w:proofErr w:type="spellEnd"/>
            <w:r w:rsidRPr="00CA6A0B">
              <w:rPr>
                <w:color w:val="000000"/>
                <w:sz w:val="20"/>
              </w:rPr>
            </w:r>
          </w:p>
        </w:tc>
        <w:tc>
          <w:tcPr>
            <w:tcW w:w="1587" w:type="dxa"/>
          </w:tcPr>
          <w:p w14:paraId="13AAD23D" w14:textId="77777777" w:rsidR="00660073" w:rsidRDefault="00000000">
            <w:r>
              <w:rPr>
                <w:sz w:val="20"/>
              </w:rPr>
              <w:t>In progress</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replaced by corrosion-product saturation F/F_max (F_max = 4.2045×10⁻³ g mm⁻³). Labels, caption and Methods updated.</w:t>
            </w:r>
          </w:p>
        </w:tc>
        <w:tc>
          <w:tcPr>
            <w:tcW w:w="1587" w:type="dxa"/>
          </w:tcPr>
          <w:p w14:paraId="048B5195" w14:textId="77777777" w:rsidR="00660073" w:rsidRDefault="00000000">
            <w:r>
              <w:rPr>
                <w:sz w:val="20"/>
              </w:rPr>
              <w:t>In progress</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The 48 h refresh is not modelled and no convection is assumed (u = 0). O₂ is resupplied at the air interface; Zn²⁺ is not reset. A fixed boundary O₂ raised 672 h mass loss ~30%. Clarified in Methods and Discussion.</w:t>
            </w:r>
            <w:proofErr w:type="gramStart"/>
            <w:r w:rsidRPr="00CA6A0B">
              <w:rPr>
                <w:color w:val="000000"/>
                <w:sz w:val="20"/>
              </w:rPr>
            </w:r>
            <w:proofErr w:type="gramEnd"/>
            <w:r w:rsidRPr="00CA6A0B">
              <w:rPr>
                <w:color w:val="000000"/>
                <w:sz w:val="20"/>
              </w:rPr>
            </w:r>
            <w:r>
              <w:rPr>
                <w:color w:val="000000"/>
                <w:sz w:val="20"/>
              </w:rPr>
            </w:r>
            <w:r w:rsidRPr="00CA6A0B">
              <w:rPr>
                <w:color w:val="000000"/>
                <w:sz w:val="20"/>
              </w:rPr>
            </w:r>
            <w:r>
              <w:rPr>
                <w:color w:val="000000"/>
                <w:sz w:val="20"/>
              </w:rPr>
            </w:r>
            <w:r w:rsidRPr="00CA6A0B">
              <w:rPr>
                <w:color w:val="000000"/>
                <w:sz w:val="20"/>
              </w:rPr>
            </w:r>
          </w:p>
        </w:tc>
        <w:tc>
          <w:tcPr>
            <w:tcW w:w="1587" w:type="dxa"/>
          </w:tcPr>
          <w:p w14:paraId="157E659F" w14:textId="77777777" w:rsidR="00660073" w:rsidRDefault="00000000">
            <w:r>
              <w:rPr>
                <w:sz w:val="20"/>
              </w:rPr>
              <w:t>In progress</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Disc and stent use the same 30 × 30 × 30 mm domain and boundary conditions. The “3×” refers to the minimum domain-size criterion. The 40 h vs 100 h transition is therefore not a domain effect. Methods clarified.</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3.5 mg L⁻¹ is below air-saturated saline, so k_ORR is an effective parameter that may absorb this. It affects absolute rates but not the disc-vs-stent comparison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model domain is 30 × 30 × 30 mm for disc and stent (Methods, Table S4), with O₂ supplied at the electrolyte–air interface. C_O₂ is justified separately for in vitro and physiological cases.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media differ (r-SBF, Tris-buffered vs HBSS), which contributes to the RMSE difference. The calibration data also show rapid late mass loss, attributed to localized corrosion but possibly cleaning error or complex films. The model does not capture this (stated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justification is removed. The model is now described as a homogenized ZnO-based representation that does not resolve phosphate, carbonate, calcium or chloride phases.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Calibration data (Liu et al.) are in r-SBF, with more complex chemistry (extra ions, Tris buffer, more precipitation). Validation data are in Ca/Mg-free HBSS, simpler and closer to the single ZnO phase in the model, which explains the lower validation RMSE (0.0159% vs 0.042%). The errors are not directly comparable and both are small relative to experimental scatter (SD 0.115% at 28 days, n = 3).</w:t>
            </w:r>
          </w:p>
        </w:tc>
        <w:tc>
          <w:tcPr>
            <w:tcW w:w="1587" w:type="dxa"/>
          </w:tcPr>
          <w:p w14:paraId="0C4A546A" w14:textId="77777777" w:rsidR="00660073" w:rsidRDefault="00000000">
            <w:r>
              <w:rPr>
                <w:sz w:val="20"/>
              </w:rPr>
              <w:t>In progress</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Table S11 added (mean ± SD, simulated value, error, error/SD). Validation RMSE = 0.0159% (8.6% of the mean); all points within 0.35 SD. Calibration RMSE 0.042% is ~24% of the mean literature value. The fit lies within experimental scatter, so validation cannot discriminate models differing by less than this.</w:t>
            </w:r>
          </w:p>
        </w:tc>
        <w:tc>
          <w:tcPr>
            <w:tcW w:w="1587" w:type="dxa"/>
          </w:tcPr>
          <w:p w14:paraId="5AE7FD9F" w14:textId="77777777" w:rsidR="00660073" w:rsidRDefault="00000000">
            <w:r>
              <w:rPr>
                <w:sz w:val="20"/>
              </w:rPr>
              <w:t>In progress</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Model output is saved hourly, so the Damköhler transition is resolved at ~40 h (disc) and ~100 h (stent). It is a model prediction, as the first measurement is at 24 h.</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14 d and 28 d masses (3.03 ± 0.74 and 3.67 ± 1.33 mg; p ≈ 0.5) are not distinguishable. No plateau is claimed: ~67% of the 28-day loss occurs in week 1, then deceleration.</w:t>
            </w:r>
          </w:p>
        </w:tc>
        <w:tc>
          <w:tcPr>
            <w:tcW w:w="1587" w:type="dxa"/>
          </w:tcPr>
          <w:p w14:paraId="0ACDE2AA" w14:textId="77777777" w:rsidR="00660073" w:rsidRDefault="00000000">
            <w:r>
              <w:rPr>
                <w:sz w:val="20"/>
              </w:rPr>
              <w:t>In progress</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removed. Errors at 336 h reported instead (Zn²⁺ 44%, pH 2.8%, 0.21 pH units). The comparison is qualitative: the model has no buffer, whereas r-SBF is Tris-buffered.</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optimum (0.042%, iteration 22) is 8% below the iteration-6 value (0.046%), a 0.004 percentage-point difference, negligible against experimental scatter (SD 0.115%). The plateau is expected: after the initial sampling, the guided search concentrated around the best region, so many evaluations lie close together (seven within 0.042–0.049%, spanning k_f 12–58, k_d 15–62, k_ORR 0.25–0.7). The lowest-RMSE point was adopted and tested on independent data (validation RMSE 0.0159%; stent).</w:t>
            </w:r>
          </w:p>
        </w:tc>
        <w:tc>
          <w:tcPr>
            <w:tcW w:w="1587" w:type="dxa"/>
          </w:tcPr>
          <w:p w14:paraId="4C8928EC" w14:textId="77777777" w:rsidR="003F785C" w:rsidRDefault="00E9439A">
            <w:r>
              <w:rPr>
                <w:sz w:val="20"/>
              </w:rPr>
              <w:t>In progress</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Sensitivity analysis (Fig. 3a) and optimization (Fig. 3b, Supplementary Fig. 4b) already show parameter behavior, so a separate profile likelihood is not needed. k_f is the least influential parameter (see A2.2). Among the seven fits within 0.05%, k_f and k_ORR are correlated (Spearman ρ = 0.93) while k_d is weakly constrained (15–62), so the parameters are effective and not individually interpreted.</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was performed before calibration, so its ranges (Table S5) are broad exploratory bounds, not tied to the calibrated values. ε and τ are literature estimates (no direct data available). F_max is calculated from the Langmuir saturation formulation in the manuscript. [Zn]_sat is from the cited literature. The corrosion-product mechanism is tested separately (ablation, A2.2; Fig. 4 sweeps).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 control is a model premise built on experimental observation, so the Morris ranking alone does not prove it. The test is agreement with data not used in calibration (28-day immersion, stent). The model also allows a reaction-limited stage. This supports the assumption in the tested conditions, not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SA:V scaling of the disc gives 12.8% for the stent, about twice the model's 6.0% (SA:V 53.9 vs 1.40). Near-linear SA:V dependence is expected and reported in the literature. The model's added value is spatial: transport control changes total mass loss moderately but strongly changes where material is lost (Figs. 7–8). Table S4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added value is the spatial distribution, shown by the individual simulations against their baselines (stent vs disc, Fig. 6; curved/spaced vs straight, Fig. 8). Total mass loss changes modestly; spatial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Stent geometry and settings are in Table S4 and Figure S2. The Yang et al. study (source of the in vivo comparison) is now also cited.</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Abstract and Conclusions now say ~6% is of the same order of magnitude as in vivo observations (flow, proteins and O₂ supply are not modelled).</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The ORR branch gives the reaction-supported rate; the diffusion branch limits recession to the available O₂ flux in the discrete field. The min() is a numerical mass-supply safeguard, not two separate mechanisms.</w:t>
            </w:r>
            <w:r w:rsidR="003914C2">
              <w:rPr>
                <w:color w:val="000000"/>
                <w:sz w:val="20"/>
              </w:rPr>
            </w:r>
            <w:r w:rsidRPr="004E2B70">
              <w:rPr>
                <w:color w:val="000000"/>
                <w:sz w:val="20"/>
              </w:rPr>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t>[Zn]_sat is no longer used: the Stefan condition is removed and Zn²⁺ is released at ρ_Zn|v_n|δ_Γ (Eq. 9). Eq. 11 is an effective first-order law (k_f lumps nucleation and speciation).</w:t>
            </w:r>
            <w:r w:rsidRPr="009E36D0">
              <w:rPr>
                <w:color w:val="000000"/>
                <w:sz w:val="20"/>
              </w:rPr>
            </w:r>
            <w:proofErr w:type="spellStart"/>
            <w:r w:rsidRPr="009E36D0">
              <w:rPr>
                <w:color w:val="000000"/>
                <w:sz w:val="20"/>
              </w:rPr>
            </w:r>
            <w:proofErr w:type="spellEnd"/>
            <w:r w:rsidRPr="009E36D0">
              <w:rPr>
                <w:color w:val="000000"/>
                <w:sz w:val="20"/>
              </w:rPr>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F and F_max are mass-based (g mm⁻³; F_max = ρ_film(1−ε)) and Cl⁻ enters Eq. 11 as a mass concentration, so k_d has units mm⁶ g⁻² h⁻¹ (Table 2, Table S5). The code works internally with Cl⁻ in mol L⁻¹; the conversion factor is (10⁶/M_Cl)² ≈ 8.0 × 10⁸ (SI Table S13).</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Cl⁻ exponent in Eq. 11 is an effective (empirical) order, since Eq. 5 is an overall reaction. Cl⁻ is regenerated during corrosion-product breakdown and is in large excess (142.3 mmol L⁻¹; consumption ≤6% disc, &lt;1% stent), so its net consumption is negligible.</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on the electrolyte side of the level set, and is not attached to the receding interface. The ZnO/Zn volume ratio (~1.6) is not represented.</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(FreeFEM int2d, levelset option) with no smoothing. A smoothed delta (width = minimum mesh size) is used only in post-processing.</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removed from the Abstract. The 18.9M-element mesh is used only for the final validation run (68.9 h, 50 cores). Calibration used a 0.8M-element mesh (~2 h per run), mapped to the fine mesh with 0.004% error. 3D was kept so calibration and stent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stent interface mesh is 5 µm, about one element per local recession (3–8 µm). The interface is the zero contour of a P1 function located within elements, conclusions use integrated quantities (mass loss, mean penetration; disc mass loss changes by &lt;0.2% at 18.9M elements, Section S2) and outer/inner differences of several µm. Local jaggedness is at the mesh scale and is not interpreted.</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Original sweeps (k_f 100, k_d 30, k_ORR 1.0) gave 0.39% at 168 h vs ~0.19% in Fig. 5a. Fig. 4 is recomputed around the calibrated values (rounded: k_f = 35, k_d = 27, k_ORR = 0.5; Table 2: 35.91, 27.17, 0.51). The baseline gives 0.20% at 168 h, matching Fig. 5a.</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Text ranges were wrong. From Fig. 8c: curved wires 2.4–2.7 µm, spacing configurations 2.1–2.4 µm. Results corrected.</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local penetration depth around the perimeter. Caption updated.</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ratios come from different places: 13.2× is the isolated 150° arc (Fig. 8d) and 1.8× the stent crown (Fig. 7d; 8.55/4.76 µm). The 13.2× has a tiny denominator (0.28 µm, below the mesh size); the absolute differences are similar (3.4 vs 3.8 µm). The isolated arc (radius 0.63 mm) also confines its inner side more.</w:t>
            </w:r>
            <w:proofErr w:type="gramStart"/>
            <w:proofErr w:type="gramEnd"/>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Balance resolution 0.1 mg. No blank cleaning controls were run, but all samples followed the same cleaning protocol (chromic acid, room temperature, 10 min), limiting bias between groups. The scatter (SD 0.115%) is far above the resolution.</w:t>
            </w:r>
          </w:p>
        </w:tc>
        <w:tc>
          <w:tcPr>
            <w:tcW w:w="1587" w:type="dxa"/>
          </w:tcPr>
          <w:p w14:paraId="57AEB8DC" w14:textId="77777777" w:rsidR="003F785C" w:rsidRDefault="00E9439A">
            <w:r>
              <w:rPr>
                <w:sz w:val="20"/>
              </w:rPr>
              <w:t>Closed</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Chromic acid: room temperature, 10 min. Discs immersed flat. No CO₂ incubator (static, 37 °C). HBSS pH 7.4 (now in Methods).</w:t>
            </w:r>
          </w:p>
        </w:tc>
        <w:tc>
          <w:tcPr>
            <w:tcW w:w="1587" w:type="dxa"/>
          </w:tcPr>
          <w:p w14:paraId="01FD47B6" w14:textId="77777777" w:rsidR="003F785C" w:rsidRDefault="00E9439A">
            <w:r>
              <w:rPr>
                <w:sz w:val="20"/>
              </w:rPr>
              <w:t>Closed</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Zn²⁺ was not measured by ICP in this study. Stated in Limitations.</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No direct mechanism test (FIB/SEM film thickness, stirred or different-O₂ experiment) was performed. Stated in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The comparison is in the Introduction. A longer discussion is not feasible within the word limit.</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Code Availability statement removed. Data Availability Statement added (Zenodo, DOI 10.5281/zenodo.23053517).</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Calibration is tractable (0.8M-element mesh, ~2 h per run; Table S4). The high-fidelity simulations (18.9M elements) are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Headings are numbered in the submission file (Section 2.3 = Numerical Implementation and Simulation Setup); numbers were lost in the reviewer's copy.</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 “an R²”; “shown in (Figure 4g–i)” → “shown in Figure 4g–i”. “Literature” is capitalised only in a reference title, so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Published with these spellings; the difference is only the capital B, so it will not be changed.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Both references updated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Da (ratio of O₂ consumption to O₂ transport) is defined in the SI (Eq. S3, Section S1). Da &lt; 1 is reaction control, Da &gt; 1 diffusion control; transition at Da = 1 (~40 h,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3ED3E71A" w14:textId="77777777" w:rsidR="003F785C" w:rsidRDefault="00E9439A">
      <w:pPr>
        <w:pStyle w:val="Heading1"/>
      </w:pPr>
      <w:r>
        <w:t>D. Second reviewer report</w:t>
      </w:r>
    </w:p>
    <w:p w14:paraId="482B3CC3" w14:textId="77777777" w:rsidR="003F785C" w:rsidRDefault="00E9439A">
      <w:pPr>
        <w:pStyle w:val="Heading2"/>
      </w:pPr>
      <w:r>
        <w:t>D1. Major comments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M1</w:t>
            </w:r>
          </w:p>
        </w:tc>
        <w:tc>
          <w:tcPr>
            <w:tcW w:w="3402" w:type="dxa"/>
          </w:tcPr>
          <w:p w14:paraId="56ED496D" w14:textId="77777777" w:rsidR="003F785C" w:rsidRDefault="00E9439A">
            <w:r>
              <w:rPr>
                <w:sz w:val="20"/>
              </w:rPr>
              <w:t>Show that Zn recession, Zn²⁺ release, O₂ consumption, OH⁻ generation and corrosion product are mass/charge-consistent; report global balances at 24, 168, 672 h.</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In the revised model (v4) the Zn²⁺ source is ρ_Zn|v_n|δ_Γ and the O₂ sink satisfies k_ORR C_O₂ = (M_O₂/2M_Zn)ρ_Zn|v_n|, so O₂ consumed, Zn released and metal lost are tied by O₂ + 2Zn + 2H₂O → 2Zn²⁺ + 4OH⁻ (Eqs. 7, 9, 14; SI Section S8). The Zn and O₂ balance has been computed for v4 and will be given in Table S14. The OH⁻ balance is not yet validated.</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w:t>
            </w:r>
          </w:p>
        </w:tc>
        <w:tc>
          <w:tcPr>
            <w:tcW w:w="3402" w:type="dxa"/>
          </w:tcPr>
          <w:p w14:paraId="56ED496D" w14:textId="77777777" w:rsidR="003F785C" w:rsidRDefault="00E9439A">
            <w:r>
              <w:rPr>
                <w:sz w:val="20"/>
              </w:rPr>
              <w:t>Sign convention of min() in Eq. 17.</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Eq. 17 (the min) is removed. The normal velocity is v_n = v_ORR evaluated at the interface (Eq. 14); it is negative for recession, and no sign-dependent selection remains.</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M3</w:t>
            </w:r>
          </w:p>
        </w:tc>
        <w:tc>
          <w:tcPr>
            <w:tcW w:w="3402" w:type="dxa"/>
          </w:tcPr>
          <w:p w14:paraId="56ED496D" w14:textId="77777777" w:rsidR="003F785C" w:rsidRDefault="00E9439A">
            <w:r>
              <w:rPr>
                <w:sz w:val="20"/>
              </w:rPr>
              <w:t>Justify the hard minimum; compare coupled-flux, series-resistance, hard-minimum and no-cap rules.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min() is removed in the revised model. v_n = v_ORR, and the O₂-diffusion limit is carried by the Robin boundary condition for C_O₂ at the interface (Eq. 7), so no separate cap is needed. Rules A–D are kept in SI Section S1 to justify removing the min().</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M4</w:t>
            </w:r>
          </w:p>
        </w:tc>
        <w:tc>
          <w:tcPr>
            <w:tcW w:w="3402" w:type="dxa"/>
          </w:tcPr>
          <w:p w14:paraId="56ED496D" w14:textId="77777777" w:rsidR="003F785C" w:rsidRDefault="00E9439A">
            <w:r>
              <w:rPr>
                <w:sz w:val="20"/>
              </w:rPr>
              <w:t>Calibration used a mesh with 26.2% error (0.8M elements).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Calibration used the 0.8M-element mesh, with the simulated mass loss divided by 1.355846 to correct it to the fine-mesh basis (Section S2): the 7-day value 0.2029% becomes 0.1496%, versus 0.1611% on the 18.9M-element mesh. The optimum was then run on the 18.9M-element mesh for validation, so the reported parameters are fine-mesh parameters. The 0.8M and 18.9M curves of the optimum are to be shown in the SI. [authors to supply curves]</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M5</w:t>
            </w:r>
          </w:p>
        </w:tc>
        <w:tc>
          <w:tcPr>
            <w:tcW w:w="3402" w:type="dxa"/>
          </w:tcPr>
          <w:p w14:paraId="56ED496D" w14:textId="77777777" w:rsidR="003F785C" w:rsidRDefault="00E9439A">
            <w:r>
              <w:rPr>
                <w:sz w:val="20"/>
              </w:rPr>
              <w:t>Morris ranges differ from calibration ranges; k_f optimum lies outside.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GSA was a screening step done before calibration, so its ranges differ from the calibration space; this is stated in the Table S5 caption. The ranking is led by C_O₂ and k_ORR (μ* about 1.09 and 0.65), well above the k_f and k_d values, and the three calibrated parameters were then calibrated over their own search ranges (Table 2).</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M6</w:t>
            </w:r>
          </w:p>
        </w:tc>
        <w:tc>
          <w:tcPr>
            <w:tcW w:w="3402" w:type="dxa"/>
          </w:tcPr>
          <w:p w14:paraId="56ED496D" w14:textId="77777777" w:rsidR="003F785C" w:rsidRDefault="00E9439A">
            <w:r>
              <w:rPr>
                <w:sz w:val="20"/>
              </w:rPr>
              <w:t>Bayesian optimization is not Bayesian calibration; report GP details.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The text will say 'Gaussian-process-assisted Bayesian optimization' for the parameter search and 'parameter-propagated ensemble interval' for the bands. Settings (GP surrogate, 12-point LHS, expected improvement, seed 1, deterministic objective) are in Table S10 and the 32 evaluations are in the source data (Fig. 3b). [authors to supply: kernel, hyperparameters, normalization, stopping rule, LOO error]</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M7</w:t>
            </w:r>
          </w:p>
        </w:tc>
        <w:tc>
          <w:tcPr>
            <w:tcW w:w="3402" w:type="dxa"/>
          </w:tcPr>
          <w:p w14:paraId="56ED496D" w14:textId="77777777" w:rsidR="003F785C" w:rsidRDefault="00E9439A">
            <w:r>
              <w:rPr>
                <w:sz w:val="20"/>
              </w:rPr>
              <w:t>Parameter identifiability is not established.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k_ORR is the best constrained parameter; among the seven fits within 0.05% RMSE, k_f and k_ORR are correlated (Spearman 0.93) and k_d is weakly constrained (Fig. 3b, Supplementary Fig. 4b). Section S6 propagates 50 parameter sets: 672 h mass loss varies by only 0.330–0.338% (50% interval). Spatial predictions across near-equivalent sets have not been run and are stated as a limitation. [authors: run if feasible]</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M8</w:t>
            </w:r>
          </w:p>
        </w:tc>
        <w:tc>
          <w:tcPr>
            <w:tcW w:w="3402" w:type="dxa"/>
          </w:tcPr>
          <w:p w14:paraId="56ED496D" w14:textId="77777777" w:rsidR="003F785C" w:rsidRDefault="00E9439A">
            <w:r>
              <w:rPr>
                <w:sz w:val="20"/>
              </w:rPr>
              <w:t>Interpretation of the corrosion-product law (Eq. 11).</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Eq. 11 is a lumped phenomenological law. F is a Zn-equivalent mass concentration (g mm⁻³; the product forms from dissolved Zn one-for-one), F_max = ρ_film(1−ε), and the Langmuir factor limits growth to F_max. The product is fixed in the Eulerian mesh and not attached to the interface. OH⁻ is solved only for the interfacial chemistry and pH output. F/F_max is a normalized saturation, not surface coverage.</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M9</w:t>
            </w:r>
          </w:p>
        </w:tc>
        <w:tc>
          <w:tcPr>
            <w:tcW w:w="3402" w:type="dxa"/>
          </w:tcPr>
          <w:p w14:paraId="56ED496D" w14:textId="77777777" w:rsidR="003F785C" w:rsidRDefault="00E9439A">
            <w:r>
              <w:rPr>
                <w:sz w:val="20"/>
              </w:rPr>
              <w:t>Experimental weighing and cleaning quality control.</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Balance resolution 0.1 mg (limit of detection about 0.01% of a 1.1 g disc). Cleaning: 200 g L⁻¹ chromic acid, room temperature, 10 min, ISO 8407:2009, same protocol for all samples; no blank controls were run (stated as a limitation). The 14 d vs 28 d masses are not distinguishable (p ≈ 0.5), so no plateau is claimed. [authors to supply: balance model, drying, repeat weighings, independent specimens per time point]</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M10</w:t>
            </w:r>
          </w:p>
        </w:tc>
        <w:tc>
          <w:tcPr>
            <w:tcW w:w="3402" w:type="dxa"/>
          </w:tcPr>
          <w:p w14:paraId="56ED496D" w14:textId="77777777" w:rsidR="003F785C" w:rsidRDefault="00E9439A">
            <w:r>
              <w:rPr>
                <w:sz w:val="20"/>
              </w:rPr>
              <w:t>Separate calibration, independent validation and out-of-objective comparisons.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Only the 28-day HBSS mass-loss trajectory is independent validation. Zn²⁺ and pH are out-of-objective comparisons with the calibration publication, as stated in the Results. ICP, pH monitoring, composition and film-thickness measurements were not performed in this study and are listed as limitations.</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M11</w:t>
            </w:r>
          </w:p>
        </w:tc>
        <w:tc>
          <w:tcPr>
            <w:tcW w:w="3402" w:type="dxa"/>
          </w:tcPr>
          <w:p w14:paraId="56ED496D" w14:textId="77777777" w:rsidR="003F785C" w:rsidRDefault="00E9439A">
            <w:r>
              <w:rPr>
                <w:sz w:val="20"/>
              </w:rPr>
              <w:t>Oxygen boundary condition vs the 48 h refreshed experiment; liquid height and volume.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refresh is not modelled (u = 0, O₂ resupplied at the air interface). A fixed boundary O₂ increased the 672 h mass loss by ~30% (A3.1). The domain is 30 × 30 × 30 mm (27 mL) for disc and stent, while 20 mL cm⁻² of the 2.2 cm² disc area is about 44 mL; this difference is acknowledged. The four boundary-condition comparisons and the specimen-to-surface distance are to be added.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M12</w:t>
            </w:r>
          </w:p>
        </w:tc>
        <w:tc>
          <w:tcPr>
            <w:tcW w:w="3402" w:type="dxa"/>
          </w:tcPr>
          <w:p w14:paraId="56ED496D" w14:textId="77777777" w:rsidR="003F785C" w:rsidRDefault="00E9439A">
            <w:r>
              <w:rPr>
                <w:sz w:val="20"/>
              </w:rPr>
              <w:t>Neglecting electromigration.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Transport is diffusion-only, as an approximation: the electrolyte contains a large excess of background ions (about 142 mmol L⁻¹ Cl⁻) compared with Zn²⁺ (below about 1 mmol L⁻¹), so migration of the minor species is screened and small. This will be stated as a modelling approximation in the Methods; an electroneutral Nernst–Planck formulation is future work.</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M13</w:t>
            </w:r>
          </w:p>
        </w:tc>
        <w:tc>
          <w:tcPr>
            <w:tcW w:w="3402" w:type="dxa"/>
          </w:tcPr>
          <w:p w14:paraId="56ED496D" w14:textId="77777777" w:rsidR="003F785C" w:rsidRDefault="00E9439A">
            <w:r>
              <w:rPr>
                <w:sz w:val="20"/>
              </w:rPr>
              <w:t>Eq. 14 and [Zn]_sat.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Stefan condition (old Eq. 14) and [Zn]_sat are removed in the revised model; Zn²⁺ is released at the rate ρ_Zn|v_n|δ_Γ and [Zn]_sat is no longer a parameter (removed from Table 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M14</w:t>
            </w:r>
          </w:p>
        </w:tc>
        <w:tc>
          <w:tcPr>
            <w:tcW w:w="3402" w:type="dxa"/>
          </w:tcPr>
          <w:p w14:paraId="56ED496D" w14:textId="77777777" w:rsidR="003F785C" w:rsidRDefault="00E9439A">
            <w:r>
              <w:rPr>
                <w:sz w:val="20"/>
              </w:rPr>
              <w:t>Dimensions and stoichiometry of Eqs. 15–16.</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Eq. 14 is v_n = −2k_ORR C_O₂|_Γ/(M_O₂[Zn]_sol) with [Zn]_sol = ρ_Zn/M_Zn; the derivation from O₂ + 2Zn + 2H₂O → 2Zn²⁺ + 4OH⁻ and a units table are in SI Section S8 (Table S13).</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M15</w:t>
            </w:r>
          </w:p>
        </w:tc>
        <w:tc>
          <w:tcPr>
            <w:tcW w:w="3402" w:type="dxa"/>
          </w:tcPr>
          <w:p w14:paraId="56ED496D" w14:textId="77777777" w:rsidR="003F785C" w:rsidRDefault="00E9439A">
            <w:r>
              <w:rPr>
                <w:sz w:val="20"/>
              </w:rPr>
              <w:t>Damköhler number and how the 40 h / 100 h transition is defined.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Da is the ratio of interfacial O₂ consumption to O₂ diffusive supply. The transition time is when the O₂-diffusion-limited share of the interface exceeds 99%: 25% at 16 h (Da ≈ 1.0), 51% at 28 h and 99.5% at 40 h for the disc (source data, Fig. 5). The interface fraction per regime will be shown in the SI. Threshold sensitivity is not yet quantified.</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M16</w:t>
            </w:r>
          </w:p>
        </w:tc>
        <w:tc>
          <w:tcPr>
            <w:tcW w:w="3402" w:type="dxa"/>
          </w:tcPr>
          <w:p w14:paraId="56ED496D" w14:textId="77777777" w:rsidR="003F785C" w:rsidRDefault="00E9439A">
            <w:r>
              <w:rPr>
                <w:sz w:val="20"/>
              </w:rPr>
              <w:t>Stent prediction is not an in vivo validation; add a baseline.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The Abstract and Conclusions say 'same order of magnitude', the Results and Limitations say 'predictive demonstration rather than formal validation'. The SA:V baseline is 12.8% vs the model's 6.0% (A6.1), and the added value is the spatial distribution (A6.2).</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M17</w:t>
            </w:r>
          </w:p>
        </w:tc>
        <w:tc>
          <w:tcPr>
            <w:tcW w:w="3402" w:type="dxa"/>
          </w:tcPr>
          <w:p w14:paraId="56ED496D" w14:textId="77777777" w:rsidR="003F785C" w:rsidRDefault="00E9439A">
            <w:r>
              <w:rPr>
                <w:sz w:val="20"/>
              </w:rPr>
              <w:t>Separate SA/V from transport effects.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Mean penetration depth is 1.1 µm for the stent and 2.4 µm for the disc; local maximum penetration is 8.55 µm at the crown (Fig. 7d). The SA:V-scaled baseline (12.8%) vs model (6.0%) is given in A6.1. Remaining cross-section and area-normalized mass loss will be added if needed.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M18</w:t>
            </w:r>
          </w:p>
        </w:tc>
        <w:tc>
          <w:tcPr>
            <w:tcW w:w="3402" w:type="dxa"/>
          </w:tcPr>
          <w:p w14:paraId="56ED496D" w14:textId="77777777" w:rsidR="003F785C" w:rsidRDefault="00E9439A">
            <w:r>
              <w:rPr>
                <w:sz w:val="20"/>
              </w:rPr>
              <w:t>pH is not mechanistic (no buffer).</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the pH output is an OH⁻-derived apparent pH in an unbuffered approximation and is interpreted qualitatively (A4.7). The Results will say so. Adding a buffer model is future work.</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M19</w:t>
            </w:r>
          </w:p>
        </w:tc>
        <w:tc>
          <w:tcPr>
            <w:tcW w:w="3402" w:type="dxa"/>
          </w:tcPr>
          <w:p w14:paraId="56ED496D" w14:textId="77777777" w:rsidR="003F785C" w:rsidRDefault="00E9439A">
            <w:r>
              <w:rPr>
                <w:sz w:val="20"/>
              </w:rPr>
              <w:t>Improve statistics for the validation (5 points, R²).</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Absolute errors are 0.004–0.022 percentage points (mean absolute error 0.014), all within 0.35 SD of the mean (Table S11), and the RMSE is 8.6% of the mean measured mass loss. The text will describe the result as 'consistent with the measured trajectory within experimental scatter'. Weighted RMSE, confidence intervals and a residual plot can be added from the replicate data in the source data.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M20</w:t>
            </w:r>
          </w:p>
        </w:tc>
        <w:tc>
          <w:tcPr>
            <w:tcW w:w="3402" w:type="dxa"/>
          </w:tcPr>
          <w:p w14:paraId="56ED496D" w14:textId="77777777" w:rsidR="003F785C" w:rsidRDefault="00E9439A">
            <w:r>
              <w:rPr>
                <w:sz w:val="20"/>
              </w:rPr>
              <w:t>Title and claims vs validation level.</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title is retained. The Limitations state that validation is for one disc dataset and that the stent is a geometry-transfer demonstration.</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21E5F41B" w14:textId="77777777" w:rsidR="003F785C" w:rsidRDefault="003F785C">
      <w:pPr>
        <w:spacing w:after="40"/>
      </w:pPr>
    </w:p>
    <w:p w14:paraId="482B3CC3" w14:textId="77777777" w:rsidR="003F785C" w:rsidRDefault="00E9439A">
      <w:pPr>
        <w:pStyle w:val="Heading2"/>
      </w:pPr>
      <w:r>
        <w:t>D2. Minor comments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m1</w:t>
            </w:r>
          </w:p>
        </w:tc>
        <w:tc>
          <w:tcPr>
            <w:tcW w:w="3402" w:type="dxa"/>
          </w:tcPr>
          <w:p w14:paraId="56ED496D" w14:textId="77777777" w:rsidR="003F785C" w:rsidRDefault="00E9439A">
            <w:r>
              <w:rPr>
                <w:sz w:val="20"/>
              </w:rPr>
              <w:t>FreeFEM vs FreeFEM++ naming; give version in Methods.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Will use 'FreeFEM' consistently and give v4.14 in the Methods.</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w:t>
            </w:r>
          </w:p>
        </w:tc>
        <w:tc>
          <w:tcPr>
            <w:tcW w:w="3402" w:type="dxa"/>
          </w:tcPr>
          <w:p w14:paraId="56ED496D" w14:textId="77777777" w:rsidR="003F785C" w:rsidRDefault="00E9439A">
            <w:r>
              <w:rPr>
                <w:sz w:val="20"/>
              </w:rPr>
              <w:t>Delta-function implementation.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δ_Γ is a sharp surface integral over the zero level set (FreeFEM int2d, levelset option) with no smoothing parameter (B1.6).</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m3</w:t>
            </w:r>
          </w:p>
        </w:tc>
        <w:tc>
          <w:tcPr>
            <w:tcW w:w="3402" w:type="dxa"/>
          </w:tcPr>
          <w:p w14:paraId="56ED496D" w14:textId="77777777" w:rsidR="003F785C" w:rsidRDefault="00E9439A">
            <w:r>
              <w:rPr>
                <w:sz w:val="20"/>
              </w:rPr>
              <w:t>Time-step convergence.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Not yet run. Δt = 0.25 h; runs at 0.5 and 0.125 h are needed.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w:t>
            </w:r>
          </w:p>
        </w:tc>
        <w:tc>
          <w:tcPr>
            <w:tcW w:w="3402" w:type="dxa"/>
          </w:tcPr>
          <w:p w14:paraId="56ED496D" w14:textId="77777777" w:rsidR="003F785C" w:rsidRDefault="00E9439A">
            <w:r>
              <w:rPr>
                <w:sz w:val="20"/>
              </w:rPr>
              <w:t>Level-set volume error from reinitialization.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Not yet quantified.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m5</w:t>
            </w:r>
          </w:p>
        </w:tc>
        <w:tc>
          <w:tcPr>
            <w:tcW w:w="3402" w:type="dxa"/>
          </w:tcPr>
          <w:p w14:paraId="56ED496D" w14:textId="77777777" w:rsidR="003F785C" w:rsidRDefault="00E9439A">
            <w:r>
              <w:rPr>
                <w:sz w:val="20"/>
              </w:rPr>
              <w:t>Remeshing / mesh motion.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mesh is generated once (refined around the initial interface) and is not regenerated or moved during the run; the level set evolves on the fixed mesh, so no field projection is needed.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m6</w:t>
            </w:r>
          </w:p>
        </w:tc>
        <w:tc>
          <w:tcPr>
            <w:tcW w:w="3402" w:type="dxa"/>
          </w:tcPr>
          <w:p w14:paraId="56ED496D" w14:textId="77777777" w:rsidR="003F785C" w:rsidRDefault="00E9439A">
            <w:r>
              <w:rPr>
                <w:sz w:val="20"/>
              </w:rPr>
              <w:t>Mesh claims: calibration mesh is not converged.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text will state that the &lt;0.2% change applies to the 18.9M-element mesh and that calibration used a 0.8M-element mesh with the mass loss divided by 1.355846 to the fine-mesh basis (Section S2).</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m7</w:t>
            </w:r>
          </w:p>
        </w:tc>
        <w:tc>
          <w:tcPr>
            <w:tcW w:w="3402" w:type="dxa"/>
          </w:tcPr>
          <w:p w14:paraId="56ED496D" w14:textId="77777777" w:rsidR="003F785C" w:rsidRDefault="00E9439A">
            <w:r>
              <w:rPr>
                <w:sz w:val="20"/>
              </w:rPr>
              <w:t>Define 'film coverage'.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F/F_max is called normalized corrosion-product saturation throughout.</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m8</w:t>
            </w:r>
          </w:p>
        </w:tc>
        <w:tc>
          <w:tcPr>
            <w:tcW w:w="3402" w:type="dxa"/>
          </w:tcPr>
          <w:p w14:paraId="56ED496D" w14:textId="77777777" w:rsidR="003F785C" w:rsidRDefault="00E9439A">
            <w:r>
              <w:rPr>
                <w:sz w:val="20"/>
              </w:rPr>
              <w:t>Morris results: give numerical values and variability.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Table S5 caption states the ranges. A table of μ*, μ and σ with trajectory intervals can be added to the SI from the Morris output.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m9</w:t>
            </w:r>
          </w:p>
        </w:tc>
        <w:tc>
          <w:tcPr>
            <w:tcW w:w="3402" w:type="dxa"/>
          </w:tcPr>
          <w:p w14:paraId="56ED496D" w14:textId="77777777" w:rsidR="003F785C" w:rsidRDefault="00E9439A">
            <w:r>
              <w:rPr>
                <w:sz w:val="20"/>
              </w:rPr>
              <w:t>Explain the O₂ range in the Morris analysis.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10⁻⁹–10⁻⁷ g mm⁻³ equals 1–100 mg L⁻¹, i.e. a broad exploratory range around the 3.5 mg L⁻¹ baseline (air-saturated saline is about 6–7 mg L⁻¹). A narrower physiological range will be stated in the SI.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m10</w:t>
            </w:r>
          </w:p>
        </w:tc>
        <w:tc>
          <w:tcPr>
            <w:tcW w:w="3402" w:type="dxa"/>
          </w:tcPr>
          <w:p w14:paraId="56ED496D" w14:textId="77777777" w:rsidR="003F785C" w:rsidRDefault="00E9439A">
            <w:r>
              <w:rPr>
                <w:sz w:val="20"/>
              </w:rPr>
              <w:t>Two uses of 'saturation'.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[Zn]_sat is removed from the model; only the corrosion-product saturation F/F_max remains.</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m11</w:t>
            </w:r>
          </w:p>
        </w:tc>
        <w:tc>
          <w:tcPr>
            <w:tcW w:w="3402" w:type="dxa"/>
          </w:tcPr>
          <w:p w14:paraId="56ED496D" w14:textId="77777777" w:rsidR="003F785C" w:rsidRDefault="00E9439A">
            <w:r>
              <w:rPr>
                <w:sz w:val="20"/>
              </w:rPr>
              <w:t>Value, units and derivation of F_max.</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F_max = ρ_film(1−ε) = 3.998 g cm⁻³ × (1 − 0.25) = 2.9985 × 10⁻³ g mm⁻³ (mass basis, Zn-equivalent), as used in the simulations.</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m12</w:t>
            </w:r>
          </w:p>
        </w:tc>
        <w:tc>
          <w:tcPr>
            <w:tcW w:w="3402" w:type="dxa"/>
          </w:tcPr>
          <w:p w14:paraId="56ED496D" w14:textId="77777777" w:rsidR="003F785C" w:rsidRDefault="00E9439A">
            <w:r>
              <w:rPr>
                <w:sz w:val="20"/>
              </w:rPr>
              <w:t>Confirm all disc surfaces were exposed.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area 219.9 mm² includes both faces and the edge. [authors to confirm that no surface was masked by a holder]</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m13</w:t>
            </w:r>
          </w:p>
        </w:tc>
        <w:tc>
          <w:tcPr>
            <w:tcW w:w="3402" w:type="dxa"/>
          </w:tcPr>
          <w:p w14:paraId="56ED496D" w14:textId="77777777" w:rsidR="003F785C" w:rsidRDefault="00E9439A">
            <w:r>
              <w:rPr>
                <w:sz w:val="20"/>
              </w:rPr>
              <w:t>Initial mass per time point.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 initial masses]</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m14</w:t>
            </w:r>
          </w:p>
        </w:tc>
        <w:tc>
          <w:tcPr>
            <w:tcW w:w="3402" w:type="dxa"/>
          </w:tcPr>
          <w:p w14:paraId="56ED496D" w14:textId="77777777" w:rsidR="003F785C" w:rsidRDefault="00E9439A">
            <w:r>
              <w:rPr>
                <w:sz w:val="20"/>
              </w:rPr>
              <w:t>Actual HBSS volume.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20 mL cm⁻² × 2.199 cm² is about 44 mL per disc.</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m15</w:t>
            </w:r>
          </w:p>
        </w:tc>
        <w:tc>
          <w:tcPr>
            <w:tcW w:w="3402" w:type="dxa"/>
          </w:tcPr>
          <w:p w14:paraId="56ED496D" w14:textId="77777777" w:rsidR="003F785C" w:rsidRDefault="00E9439A">
            <w:r>
              <w:rPr>
                <w:sz w:val="20"/>
              </w:rPr>
              <w:t>Medium refresh: same or new container.</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m16</w:t>
            </w:r>
          </w:p>
        </w:tc>
        <w:tc>
          <w:tcPr>
            <w:tcW w:w="3402" w:type="dxa"/>
          </w:tcPr>
          <w:p w14:paraId="56ED496D" w14:textId="77777777" w:rsidR="003F785C" w:rsidRDefault="00E9439A">
            <w:r>
              <w:rPr>
                <w:sz w:val="20"/>
              </w:rPr>
              <w:t>Pre-cleaning mass / retained corrosion product.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Pre-cleaning masses were recorded but are not reported; a comparison with the predicted corrosion-product mass is future work.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m17</w:t>
            </w:r>
          </w:p>
        </w:tc>
        <w:tc>
          <w:tcPr>
            <w:tcW w:w="3402" w:type="dxa"/>
          </w:tcPr>
          <w:p w14:paraId="56ED496D" w14:textId="77777777" w:rsidR="003F785C" w:rsidRDefault="00E9439A">
            <w:r>
              <w:rPr>
                <w:sz w:val="20"/>
              </w:rPr>
              <w:t>pH measured during immersion?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state whether pH was monitored]</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m18</w:t>
            </w:r>
          </w:p>
        </w:tc>
        <w:tc>
          <w:tcPr>
            <w:tcW w:w="3402" w:type="dxa"/>
          </w:tcPr>
          <w:p w14:paraId="56ED496D" w14:textId="77777777" w:rsidR="003F785C" w:rsidRDefault="00E9439A">
            <w:r>
              <w:rPr>
                <w:sz w:val="20"/>
              </w:rPr>
              <w:t>Do not present ZnO as the sole film.</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model is described as a homogenized ZnO-equivalent corrosion-product representation (A4.2).</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m19</w:t>
            </w:r>
          </w:p>
        </w:tc>
        <w:tc>
          <w:tcPr>
            <w:tcW w:w="3402" w:type="dxa"/>
          </w:tcPr>
          <w:p w14:paraId="56ED496D" w14:textId="77777777" w:rsidR="003F785C" w:rsidRDefault="00E9439A">
            <w:r>
              <w:rPr>
                <w:sz w:val="20"/>
              </w:rPr>
              <w:t>Why chloride exponent 2 was fixed.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exponent is an effective order that was fixed and not calibrated or tested in the sensitivity analysis; k_d absorbs its uncertainty.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m20</w:t>
            </w:r>
          </w:p>
        </w:tc>
        <w:tc>
          <w:tcPr>
            <w:tcW w:w="3402" w:type="dxa"/>
          </w:tcPr>
          <w:p w14:paraId="56ED496D" w14:textId="77777777" w:rsidR="003F785C" w:rsidRDefault="00E9439A">
            <w:r>
              <w:rPr>
                <w:sz w:val="20"/>
              </w:rPr>
              <w:t>Is chloride truly catalytic? Eq. 8 vs Eq. 11.</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Eq. 8 has no source or sink because Cl⁻ is regenerated during dissolution and is in large excess (B1.4); net consumption is ≤6% (disc) and &lt;1% (stent).</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m21</w:t>
            </w:r>
          </w:p>
        </w:tc>
        <w:tc>
          <w:tcPr>
            <w:tcW w:w="3402" w:type="dxa"/>
          </w:tcPr>
          <w:p w14:paraId="56ED496D" w14:textId="77777777" w:rsidR="003F785C" w:rsidRDefault="00E9439A">
            <w:r>
              <w:rPr>
                <w:sz w:val="20"/>
              </w:rPr>
              <w:t>Grammar examples.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Corrected: 'while increasing k_d', 'for k_ORR, where increasing…', and lowercase 'where' after Eq. 15.</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m22</w:t>
            </w:r>
          </w:p>
        </w:tc>
        <w:tc>
          <w:tcPr>
            <w:tcW w:w="3402" w:type="dxa"/>
          </w:tcPr>
          <w:p w14:paraId="56ED496D" w14:textId="77777777" w:rsidR="003F785C" w:rsidRDefault="00E9439A">
            <w:r>
              <w:rPr>
                <w:sz w:val="20"/>
              </w:rPr>
              <w:t>Film / layer / region terminology.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text uses 'corrosion-product field' for the numerical representation (A2.3).</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m23</w:t>
            </w:r>
          </w:p>
        </w:tc>
        <w:tc>
          <w:tcPr>
            <w:tcW w:w="3402" w:type="dxa"/>
          </w:tcPr>
          <w:p w14:paraId="56ED496D" w14:textId="77777777" w:rsidR="003F785C" w:rsidRDefault="00E9439A">
            <w:r>
              <w:rPr>
                <w:sz w:val="20"/>
              </w:rPr>
              <w:t>Domain-size study (20, 30, 40 mm).</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closed-box domain dependence is removed with a fixed boundary O₂ (A3.1). Results for 20/30/40 mm are to be added to the SI.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m24</w:t>
            </w:r>
          </w:p>
        </w:tc>
        <w:tc>
          <w:tcPr>
            <w:tcW w:w="3402" w:type="dxa"/>
          </w:tcPr>
          <w:p w14:paraId="56ED496D" w14:textId="77777777" w:rsidR="003F785C" w:rsidRDefault="00E9439A">
            <w:r>
              <w:rPr>
                <w:sz w:val="20"/>
              </w:rPr>
              <w:t>Specify the top boundary.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top face is the electrolyte–air interface with Dirichlet C_O₂ = 3.5 mg L⁻¹ (Table S4); container walls are no-flux. Specimen position and distance to the interface are to be added.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m25</w:t>
            </w:r>
          </w:p>
        </w:tc>
        <w:tc>
          <w:tcPr>
            <w:tcW w:w="3402" w:type="dxa"/>
          </w:tcPr>
          <w:p w14:paraId="56ED496D" w14:textId="77777777" w:rsidR="003F785C" w:rsidRDefault="00E9439A">
            <w:r>
              <w:rPr>
                <w:sz w:val="20"/>
              </w:rPr>
              <w:t>Define reaction-controlled fraction.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Each interface point is classified by which velocity is selected (O₂-diffusion cap vs reaction), and the fraction is area-weighted.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m26</w:t>
            </w:r>
          </w:p>
        </w:tc>
        <w:tc>
          <w:tcPr>
            <w:tcW w:w="3402" w:type="dxa"/>
          </w:tcPr>
          <w:p w14:paraId="56ED496D" w14:textId="77777777" w:rsidR="003F785C" w:rsidRDefault="00E9439A">
            <w:r>
              <w:rPr>
                <w:sz w:val="20"/>
              </w:rPr>
              <w:t>Uncertainty of transition times.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Not yet quantified; transition times are stated as approximate.</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m27</w:t>
            </w:r>
          </w:p>
        </w:tc>
        <w:tc>
          <w:tcPr>
            <w:tcW w:w="3402" w:type="dxa"/>
          </w:tcPr>
          <w:p w14:paraId="56ED496D" w14:textId="77777777" w:rsidR="003F785C" w:rsidRDefault="00E9439A">
            <w:r>
              <w:rPr>
                <w:sz w:val="20"/>
              </w:rPr>
              <w:t>Corrosion-rate definition (Fig. 5b).</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plotted rate is from Eq. S1. Whether it is cumulative-average or instantaneous will be stated in the caption.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m28</w:t>
            </w:r>
          </w:p>
        </w:tc>
        <w:tc>
          <w:tcPr>
            <w:tcW w:w="3402" w:type="dxa"/>
          </w:tcPr>
          <w:p w14:paraId="56ED496D" w14:textId="77777777" w:rsidR="003F785C" w:rsidRDefault="00E9439A">
            <w:r>
              <w:rPr>
                <w:sz w:val="20"/>
              </w:rPr>
              <w:t>Evolving-area normalization in Eq. S1.</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 comparison with initial-area and instantaneous-recession rates is to be added.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m29</w:t>
            </w:r>
          </w:p>
        </w:tc>
        <w:tc>
          <w:tcPr>
            <w:tcW w:w="3402" w:type="dxa"/>
          </w:tcPr>
          <w:p w14:paraId="56ED496D" w14:textId="77777777" w:rsidR="003F785C" w:rsidRDefault="00E9439A">
            <w:r>
              <w:rPr>
                <w:sz w:val="20"/>
              </w:rPr>
              <w:t>State ensemble limitations in the main text.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One sentence will be added: the bands exclude measurement, numerical, structural and boundary-condition uncertainty.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m30</w:t>
            </w:r>
          </w:p>
        </w:tc>
        <w:tc>
          <w:tcPr>
            <w:tcW w:w="3402" w:type="dxa"/>
          </w:tcPr>
          <w:p w14:paraId="56ED496D" w14:textId="77777777" w:rsidR="003F785C" w:rsidRDefault="00E9439A">
            <w:r>
              <w:rPr>
                <w:sz w:val="20"/>
              </w:rPr>
              <w:t>Four of six points in the 95% interval.</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interval is parameter-propagated only, not a predictive interval, so this is expected. The SI wording will make this explicit.</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m31</w:t>
            </w:r>
          </w:p>
        </w:tc>
        <w:tc>
          <w:tcPr>
            <w:tcW w:w="3402" w:type="dxa"/>
          </w:tcPr>
          <w:p w14:paraId="56ED496D" w14:textId="77777777" w:rsidR="003F785C" w:rsidRDefault="00E9439A">
            <w:r>
              <w:rPr>
                <w:sz w:val="20"/>
              </w:rPr>
              <w:t>'Rapid convergence' wording.</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Removed: 'rapid convergence' and 'distinct optimum' are replaced by a statement that the lowest RMSE was found at iteration 22.</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m32</w:t>
            </w:r>
          </w:p>
        </w:tc>
        <w:tc>
          <w:tcPr>
            <w:tcW w:w="3402" w:type="dxa"/>
          </w:tcPr>
          <w:p w14:paraId="56ED496D" w14:textId="77777777" w:rsidR="003F785C" w:rsidRDefault="00E9439A">
            <w:r>
              <w:rPr>
                <w:sz w:val="20"/>
              </w:rPr>
              <w:t>Reproducibility files.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Zenodo record will include the source code, geometry scripts, parameter files, solver settings, calibration history and seeds. [authors to confirm contents]</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m33</w:t>
            </w:r>
          </w:p>
        </w:tc>
        <w:tc>
          <w:tcPr>
            <w:tcW w:w="3402" w:type="dxa"/>
          </w:tcPr>
          <w:p w14:paraId="56ED496D" w14:textId="77777777" w:rsidR="003F785C" w:rsidRDefault="00E9439A">
            <w:r>
              <w:rPr>
                <w:sz w:val="20"/>
              </w:rPr>
              <w:t>Hardware details.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 processor, memory, nodes, interconnect]</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m34</w:t>
            </w:r>
          </w:p>
        </w:tc>
        <w:tc>
          <w:tcPr>
            <w:tcW w:w="3402" w:type="dxa"/>
          </w:tcPr>
          <w:p w14:paraId="56ED496D" w14:textId="77777777" w:rsidR="003F785C" w:rsidRDefault="00E9439A">
            <w:r>
              <w:rPr>
                <w:sz w:val="20"/>
              </w:rPr>
              <w:t>Average DOF per process.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values are per scalar field (about vertices ÷ processes). The Table S4 label will say so.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m35</w:t>
            </w:r>
          </w:p>
        </w:tc>
        <w:tc>
          <w:tcPr>
            <w:tcW w:w="3402" w:type="dxa"/>
          </w:tcPr>
          <w:p w14:paraId="56ED496D" w14:textId="77777777" w:rsidR="003F785C" w:rsidRDefault="00E9439A">
            <w:r>
              <w:rPr>
                <w:sz w:val="20"/>
              </w:rPr>
              <w:t>Solver coupling.</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describe: monolithic or sequential, iteration order, criteria]</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m36</w:t>
            </w:r>
          </w:p>
        </w:tc>
        <w:tc>
          <w:tcPr>
            <w:tcW w:w="3402" w:type="dxa"/>
          </w:tcPr>
          <w:p w14:paraId="56ED496D" w14:textId="77777777" w:rsidR="003F785C" w:rsidRDefault="00E9439A">
            <w:r>
              <w:rPr>
                <w:sz w:val="20"/>
              </w:rPr>
              <w:t>Nonlinear convergence behaviour.</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 typical iteration counts and any time-step reductions]</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m37</w:t>
            </w:r>
          </w:p>
        </w:tc>
        <w:tc>
          <w:tcPr>
            <w:tcW w:w="3402" w:type="dxa"/>
          </w:tcPr>
          <w:p w14:paraId="56ED496D" w14:textId="77777777" w:rsidR="003F785C" w:rsidRDefault="00E9439A">
            <w:r>
              <w:rPr>
                <w:sz w:val="20"/>
              </w:rPr>
              <w:t>Define the two RMSE values.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Both are RMSE of mass loss in percentage points (same formula, Eq. in SI S5).</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m38</w:t>
            </w:r>
          </w:p>
        </w:tc>
        <w:tc>
          <w:tcPr>
            <w:tcW w:w="3402" w:type="dxa"/>
          </w:tcPr>
          <w:p w14:paraId="56ED496D" w14:textId="77777777" w:rsidR="003F785C" w:rsidRDefault="00E9439A">
            <w:r>
              <w:rPr>
                <w:sz w:val="20"/>
              </w:rPr>
              <w:t>Percentage ambiguity.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Errors are in percentage points; the labels will say so.</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m39</w:t>
            </w:r>
          </w:p>
        </w:tc>
        <w:tc>
          <w:tcPr>
            <w:tcW w:w="3402" w:type="dxa"/>
          </w:tcPr>
          <w:p w14:paraId="56ED496D" w14:textId="77777777" w:rsidR="003F785C" w:rsidRDefault="00E9439A">
            <w:r>
              <w:rPr>
                <w:sz w:val="20"/>
              </w:rPr>
              <w:t>Show individual data points.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three replicates per time point are in the source data (Fig. 5a,b); a figure with individual points can be added.</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m40</w:t>
            </w:r>
          </w:p>
        </w:tc>
        <w:tc>
          <w:tcPr>
            <w:tcW w:w="3402" w:type="dxa"/>
          </w:tcPr>
          <w:p w14:paraId="56ED496D" w14:textId="77777777" w:rsidR="003F785C" w:rsidRDefault="00E9439A">
            <w:r>
              <w:rPr>
                <w:sz w:val="20"/>
              </w:rPr>
              <w:t>Label validated vs literature comparisons in Fig. 5.</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Panels a–b are independent validation; panels e–f are out-of-objective literature comparisons. The caption will say so.</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m41</w:t>
            </w:r>
          </w:p>
        </w:tc>
        <w:tc>
          <w:tcPr>
            <w:tcW w:w="3402" w:type="dxa"/>
          </w:tcPr>
          <w:p w14:paraId="56ED496D" w14:textId="77777777" w:rsidR="003F785C" w:rsidRDefault="00E9439A">
            <w:r>
              <w:rPr>
                <w:sz w:val="20"/>
              </w:rPr>
              <w:t>Scale bars and colour limits.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update figures]</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m42</w:t>
            </w:r>
          </w:p>
        </w:tc>
        <w:tc>
          <w:tcPr>
            <w:tcW w:w="3402" w:type="dxa"/>
          </w:tcPr>
          <w:p w14:paraId="56ED496D" w14:textId="77777777" w:rsidR="003F785C" w:rsidRDefault="00E9439A">
            <w:r>
              <w:rPr>
                <w:sz w:val="20"/>
              </w:rPr>
              <w:t>How penetration depth is extracted.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describe the extraction from the level set]</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m43</w:t>
            </w:r>
          </w:p>
        </w:tc>
        <w:tc>
          <w:tcPr>
            <w:tcW w:w="3402" w:type="dxa"/>
          </w:tcPr>
          <w:p w14:paraId="56ED496D" w14:textId="77777777" w:rsidR="003F785C" w:rsidRDefault="00E9439A">
            <w:r>
              <w:rPr>
                <w:sz w:val="20"/>
              </w:rPr>
              <w:t>Report numerator and denominator of ratios.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150° arc: outer 3.72 µm and inner 0.28 µm (13.2×); stent crown: 8.55 and 4.76 µm (1.8×) (B4.3). The values will be added to the Fig. 8d caption.</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m44</w:t>
            </w:r>
          </w:p>
        </w:tc>
        <w:tc>
          <w:tcPr>
            <w:tcW w:w="3402" w:type="dxa"/>
          </w:tcPr>
          <w:p w14:paraId="56ED496D" w14:textId="77777777" w:rsidR="003F785C" w:rsidRDefault="00E9439A">
            <w:r>
              <w:rPr>
                <w:sz w:val="20"/>
              </w:rPr>
              <w:t>Resolution of µm penetration with 5 µm elements.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interface is a sub-element zero contour of a P1 function, and the conclusions use integrated quantities and outer/inner differences of several µm (B2.2). A local-penetration convergence run with a finer mesh is needed to confirm differences below about 1 µm.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m45</w:t>
            </w:r>
          </w:p>
        </w:tc>
        <w:tc>
          <w:tcPr>
            <w:tcW w:w="3402" w:type="dxa"/>
          </w:tcPr>
          <w:p w14:paraId="56ED496D" w14:textId="77777777" w:rsidR="003F785C" w:rsidRDefault="00E9439A">
            <w:r>
              <w:rPr>
                <w:sz w:val="20"/>
              </w:rPr>
              <w:t>Local penetration convergence study.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As m44: not yet run.</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m46</w:t>
            </w:r>
          </w:p>
        </w:tc>
        <w:tc>
          <w:tcPr>
            <w:tcW w:w="3402" w:type="dxa"/>
          </w:tcPr>
          <w:p w14:paraId="56ED496D" w14:textId="77777777" w:rsidR="003F785C" w:rsidRDefault="00E9439A">
            <w:r>
              <w:rPr>
                <w:sz w:val="20"/>
              </w:rPr>
              <w:t>Describe the stent as an idealized ring.</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geometry is a single-ring, six-crown idealized stent (Fig. S3c); the text will say 'idealized six-crown stent ring'.</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m47</w:t>
            </w:r>
          </w:p>
        </w:tc>
        <w:tc>
          <w:tcPr>
            <w:tcW w:w="3402" w:type="dxa"/>
          </w:tcPr>
          <w:p w14:paraId="56ED496D" w14:textId="77777777" w:rsidR="003F785C" w:rsidRDefault="00E9439A">
            <w:r>
              <w:rPr>
                <w:sz w:val="20"/>
              </w:rPr>
              <w:t>Do not imply mechanical failure results.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 mechanical analysis is performed; statements on thinning and failure are hypotheses and will be worded accordingly.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m48</w:t>
            </w:r>
          </w:p>
        </w:tc>
        <w:tc>
          <w:tcPr>
            <w:tcW w:w="3402" w:type="dxa"/>
          </w:tcPr>
          <w:p w14:paraId="56ED496D" w14:textId="77777777" w:rsidR="003F785C" w:rsidRDefault="00E9439A">
            <w:r>
              <w:rPr>
                <w:sz w:val="20"/>
              </w:rPr>
              <w:t>Abstract: stent result is a geometry-transfer demonstration.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Abstract states 'same order of magnitude as reported in vivo observations'; the Limitations state it is a demonstration, not formal validation.</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m49</w:t>
            </w:r>
          </w:p>
        </w:tc>
        <w:tc>
          <w:tcPr>
            <w:tcW w:w="3402" w:type="dxa"/>
          </w:tcPr>
          <w:p w14:paraId="56ED496D" w14:textId="77777777" w:rsidR="003F785C" w:rsidRDefault="00E9439A">
            <w:r>
              <w:rPr>
                <w:sz w:val="20"/>
              </w:rPr>
              <w:t>Final sentence of the Conclusions.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Changed from 'enabling' to 'which could enable'.</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m50</w:t>
            </w:r>
          </w:p>
        </w:tc>
        <w:tc>
          <w:tcPr>
            <w:tcW w:w="3402" w:type="dxa"/>
          </w:tcPr>
          <w:p w14:paraId="56ED496D" w14:textId="77777777" w:rsidR="003F785C" w:rsidRDefault="00E9439A">
            <w:r>
              <w:rPr>
                <w:sz w:val="20"/>
              </w:rPr>
              <w:t>Reference and formatting checks.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References are being rechecked (volume, issue, DOI, access dates, SI numbering). [authors to complete]</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bl>
    <w:p w14:paraId="21E5F41B" w14:textId="77777777" w:rsidR="003F785C" w:rsidRDefault="003F785C">
      <w:pPr>
        <w:spacing w:after="40"/>
      </w:pP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