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 was initialized using a 12-point Latin hypercube sampling (LHS) design [3] spanning the admissible parameter space and iteratively refined using the expected improvement (EI) acquisition function [2].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 xml:space="preserve">Table S9 and Figure S9 report the mesh convergence study, and Table S10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9</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10</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9</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