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S2. Mesh convergence study showing the effect of mesh resolution on predicted 7-day mass loss. Relative errors are calculated with respect to the reference mesh (21.25 million elements).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Fidelity</w:t>
            </w:r>
          </w:p>
        </w:tc>
        <w:tc>
          <w:tcPr>
            <w:tcW w:type="dxa" w:w="2160"/>
          </w:tcPr>
          <w:p>
            <w:r>
              <w:t>Elements</w:t>
            </w:r>
          </w:p>
        </w:tc>
        <w:tc>
          <w:tcPr>
            <w:tcW w:type="dxa" w:w="2160"/>
          </w:tcPr>
          <w:p>
            <w:r>
              <w:t>Mass loss (%)</w:t>
            </w:r>
          </w:p>
        </w:tc>
        <w:tc>
          <w:tcPr>
            <w:tcW w:type="dxa" w:w="2160"/>
          </w:tcPr>
          <w:p>
            <w:r>
              <w:t>Relative error (%)</w:t>
            </w:r>
          </w:p>
        </w:tc>
      </w:tr>
      <w:tr>
        <w:tc>
          <w:tcPr>
            <w:tcW w:type="dxa" w:w="2160"/>
          </w:tcPr>
          <w:p>
            <w:r>
              <w:t>L1 (Very Low)</w:t>
            </w:r>
          </w:p>
        </w:tc>
        <w:tc>
          <w:tcPr>
            <w:tcW w:type="dxa" w:w="2160"/>
          </w:tcPr>
          <w:p>
            <w:r>
              <w:t>182,768</w:t>
            </w:r>
          </w:p>
        </w:tc>
        <w:tc>
          <w:tcPr>
            <w:tcW w:type="dxa" w:w="2160"/>
          </w:tcPr>
          <w:p>
            <w:r>
              <w:t>2.5172</w:t>
            </w:r>
          </w:p>
        </w:tc>
        <w:tc>
          <w:tcPr>
            <w:tcW w:type="dxa" w:w="2160"/>
          </w:tcPr>
          <w:p>
            <w:r>
              <w:t>1465.8</w:t>
            </w:r>
          </w:p>
        </w:tc>
      </w:tr>
      <w:tr>
        <w:tc>
          <w:tcPr>
            <w:tcW w:type="dxa" w:w="2160"/>
          </w:tcPr>
          <w:p>
            <w:r>
              <w:t>L2 (Low)</w:t>
            </w:r>
          </w:p>
        </w:tc>
        <w:tc>
          <w:tcPr>
            <w:tcW w:type="dxa" w:w="2160"/>
          </w:tcPr>
          <w:p>
            <w:r>
              <w:t>802,365</w:t>
            </w:r>
          </w:p>
        </w:tc>
        <w:tc>
          <w:tcPr>
            <w:tcW w:type="dxa" w:w="2160"/>
          </w:tcPr>
          <w:p>
            <w:r>
              <w:t>0.8707</w:t>
            </w:r>
          </w:p>
        </w:tc>
        <w:tc>
          <w:tcPr>
            <w:tcW w:type="dxa" w:w="2160"/>
          </w:tcPr>
          <w:p>
            <w:r>
              <w:t>441.6</w:t>
            </w:r>
          </w:p>
        </w:tc>
      </w:tr>
      <w:tr>
        <w:tc>
          <w:tcPr>
            <w:tcW w:type="dxa" w:w="2160"/>
          </w:tcPr>
          <w:p>
            <w:r>
              <w:t>L3 (Medium)</w:t>
            </w:r>
          </w:p>
        </w:tc>
        <w:tc>
          <w:tcPr>
            <w:tcW w:type="dxa" w:w="2160"/>
          </w:tcPr>
          <w:p>
            <w:r>
              <w:t>3,454,723</w:t>
            </w:r>
          </w:p>
        </w:tc>
        <w:tc>
          <w:tcPr>
            <w:tcW w:type="dxa" w:w="2160"/>
          </w:tcPr>
          <w:p>
            <w:r>
              <w:t>0.2857</w:t>
            </w:r>
          </w:p>
        </w:tc>
        <w:tc>
          <w:tcPr>
            <w:tcW w:type="dxa" w:w="2160"/>
          </w:tcPr>
          <w:p>
            <w:r>
              <w:t>77.7</w:t>
            </w:r>
          </w:p>
        </w:tc>
      </w:tr>
      <w:tr>
        <w:tc>
          <w:tcPr>
            <w:tcW w:type="dxa" w:w="2160"/>
          </w:tcPr>
          <w:p>
            <w:r>
              <w:t>L4 (High)</w:t>
            </w:r>
          </w:p>
        </w:tc>
        <w:tc>
          <w:tcPr>
            <w:tcW w:type="dxa" w:w="2160"/>
          </w:tcPr>
          <w:p>
            <w:r>
              <w:t>4,990,080</w:t>
            </w:r>
          </w:p>
        </w:tc>
        <w:tc>
          <w:tcPr>
            <w:tcW w:type="dxa" w:w="2160"/>
          </w:tcPr>
          <w:p>
            <w:r>
              <w:t>0.2112</w:t>
            </w:r>
          </w:p>
        </w:tc>
        <w:tc>
          <w:tcPr>
            <w:tcW w:type="dxa" w:w="2160"/>
          </w:tcPr>
          <w:p>
            <w:r>
              <w:t>31.4</w:t>
            </w:r>
          </w:p>
        </w:tc>
      </w:tr>
      <w:tr>
        <w:tc>
          <w:tcPr>
            <w:tcW w:type="dxa" w:w="2160"/>
          </w:tcPr>
          <w:p>
            <w:r>
              <w:t>L5 (Very High)</w:t>
            </w:r>
          </w:p>
        </w:tc>
        <w:tc>
          <w:tcPr>
            <w:tcW w:type="dxa" w:w="2160"/>
          </w:tcPr>
          <w:p>
            <w:r>
              <w:t>11,958,220</w:t>
            </w:r>
          </w:p>
        </w:tc>
        <w:tc>
          <w:tcPr>
            <w:tcW w:type="dxa" w:w="2160"/>
          </w:tcPr>
          <w:p>
            <w:r>
              <w:t>0.1752</w:t>
            </w:r>
          </w:p>
        </w:tc>
        <w:tc>
          <w:tcPr>
            <w:tcW w:type="dxa" w:w="2160"/>
          </w:tcPr>
          <w:p>
            <w:r>
              <w:t>9.0</w:t>
            </w:r>
          </w:p>
        </w:tc>
      </w:tr>
      <w:tr>
        <w:tc>
          <w:tcPr>
            <w:tcW w:type="dxa" w:w="2160"/>
          </w:tcPr>
          <w:p>
            <w:r>
              <w:t>L6 (Ultra High)</w:t>
            </w:r>
          </w:p>
        </w:tc>
        <w:tc>
          <w:tcPr>
            <w:tcW w:type="dxa" w:w="2160"/>
          </w:tcPr>
          <w:p>
            <w:r>
              <w:t>18,864,900</w:t>
            </w:r>
          </w:p>
        </w:tc>
        <w:tc>
          <w:tcPr>
            <w:tcW w:type="dxa" w:w="2160"/>
          </w:tcPr>
          <w:p>
            <w:r>
              <w:t>0.1622</w:t>
            </w:r>
          </w:p>
        </w:tc>
        <w:tc>
          <w:tcPr>
            <w:tcW w:type="dxa" w:w="2160"/>
          </w:tcPr>
          <w:p>
            <w:r>
              <w:t>0.87</w:t>
            </w:r>
          </w:p>
        </w:tc>
      </w:tr>
      <w:tr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21,245,850</w:t>
            </w:r>
          </w:p>
        </w:tc>
        <w:tc>
          <w:tcPr>
            <w:tcW w:type="dxa" w:w="2160"/>
          </w:tcPr>
          <w:p>
            <w:r>
              <w:t>0.1608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t>Table S3. Comparison between an adaptive mesh (hmin = 0.1 mm, hmax = 2 mm) and a uniform mesh (1 mm everywhere).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Mesh type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Mass loss (%)</w:t>
            </w:r>
          </w:p>
        </w:tc>
        <w:tc>
          <w:tcPr>
            <w:tcW w:type="dxa" w:w="1728"/>
          </w:tcPr>
          <w:p>
            <w:r>
              <w:t>Error vs. reference (%)</w:t>
            </w:r>
          </w:p>
        </w:tc>
        <w:tc>
          <w:tcPr>
            <w:tcW w:type="dxa" w:w="1728"/>
          </w:tcPr>
          <w:p>
            <w:r>
              <w:t>Improvement</w:t>
            </w:r>
          </w:p>
        </w:tc>
      </w:tr>
      <w:tr>
        <w:tc>
          <w:tcPr>
            <w:tcW w:type="dxa" w:w="1728"/>
          </w:tcPr>
          <w:p>
            <w:r>
              <w:t>Uniform (1 mm)</w:t>
            </w:r>
          </w:p>
        </w:tc>
        <w:tc>
          <w:tcPr>
            <w:tcW w:type="dxa" w:w="1728"/>
          </w:tcPr>
          <w:p>
            <w:r>
              <w:t>~229,000</w:t>
            </w:r>
          </w:p>
        </w:tc>
        <w:tc>
          <w:tcPr>
            <w:tcW w:type="dxa" w:w="1728"/>
          </w:tcPr>
          <w:p>
            <w:r>
              <w:t>4.9962</w:t>
            </w:r>
          </w:p>
        </w:tc>
        <w:tc>
          <w:tcPr>
            <w:tcW w:type="dxa" w:w="1728"/>
          </w:tcPr>
          <w:p>
            <w:r>
              <w:t>3007.8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</w:tr>
      <w:tr>
        <w:tc>
          <w:tcPr>
            <w:tcW w:type="dxa" w:w="1728"/>
          </w:tcPr>
          <w:p>
            <w:r>
              <w:t>Adaptive (hmin 0.1 mm, hmax 2 mm)</w:t>
            </w:r>
          </w:p>
        </w:tc>
        <w:tc>
          <w:tcPr>
            <w:tcW w:type="dxa" w:w="1728"/>
          </w:tcPr>
          <w:p>
            <w:r>
              <w:t>802,365</w:t>
            </w:r>
          </w:p>
        </w:tc>
        <w:tc>
          <w:tcPr>
            <w:tcW w:type="dxa" w:w="1728"/>
          </w:tcPr>
          <w:p>
            <w:r>
              <w:t>0.8707</w:t>
            </w:r>
          </w:p>
        </w:tc>
        <w:tc>
          <w:tcPr>
            <w:tcW w:type="dxa" w:w="1728"/>
          </w:tcPr>
          <w:p>
            <w:r>
              <w:t>441.6</w:t>
            </w:r>
          </w:p>
        </w:tc>
        <w:tc>
          <w:tcPr>
            <w:tcW w:type="dxa" w:w="1728"/>
          </w:tcPr>
          <w:p>
            <w:r>
              <w:t>0.8532</w:t>
            </w:r>
          </w:p>
        </w:tc>
      </w:tr>
      <w:tr>
        <w:tc>
          <w:tcPr>
            <w:tcW w:type="dxa" w:w="1728"/>
          </w:tcPr>
          <w:p>
            <w:r>
              <w:t>Reference mesh</w:t>
            </w:r>
          </w:p>
        </w:tc>
        <w:tc>
          <w:tcPr>
            <w:tcW w:type="dxa" w:w="1728"/>
          </w:tcPr>
          <w:p>
            <w:r>
              <w:t>21,245,850</w:t>
            </w:r>
          </w:p>
        </w:tc>
        <w:tc>
          <w:tcPr>
            <w:tcW w:type="dxa" w:w="1728"/>
          </w:tcPr>
          <w:p>
            <w:r>
              <w:t>0.1608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r>
        <w:t>Basis: errors unchanged from the original table; mass loss = reference × (1 + error), anchored so that L6 (18.9M) = 0.1622% (your fine curve at 168 h), giving reference = 0.1608%. NOTE: with these errors L2 (800K) = 0.871%, which contradicts your 800K curve (0.1721% at 168 h); both cannot hold with the errors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