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0.009 mm yr⁻¹ used molar C_O₂, but the solver uses mass concentration (≈32× higher). Eqs. 15–16 now include M_O₂ explicitly. Corrected ceiling: 0.29 mm yr⁻¹, above the simulated 0.12 and 0.155 mm yr⁻¹. The error was in the printed equations,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Simulated rates (0.12 and 0.155 mm yr⁻¹) are below the corrected ceiling.</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recomputed around k_ORR = 0.5 (sweep 0.1–2.5). Ceilings at 168 h (0.15, 0.75, 3.75%) exceed simulated mass losses (0.04, 0.20,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Global O₂ mass balance added (SI Section S1). O₂ consumed is ~1/32 (24 h) and ~1/24 (168 h) of the stoichiometric need, so recession is not stoichiometrically coupled to O₂ consumption.</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right for Eq. 15 as originally printed (see A1.1); Eqs. 15–16 are now corrected.</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t>The Fig. 5c label was wrong: the colour bar is F (g mm⁻³), not F/F_max. Maximum F/F_max = 0.713, so D_eff/D = 0.376 (62% reduction). Label, caption and text corrected.</w:t>
            </w:r>
            <w:proofErr w:type="spellStart"/>
            <w:r w:rsidRPr="00555FC1">
              <w:rPr>
                <w:color w:val="000000"/>
                <w:sz w:val="20"/>
              </w:rPr>
            </w:r>
            <w:proofErr w:type="spellEnd"/>
            <w:r w:rsidRPr="00555FC1">
              <w:rPr>
                <w:color w:val="000000"/>
                <w:sz w:val="20"/>
              </w:rPr>
            </w:r>
            <w:proofErr w:type="spellStart"/>
            <w:r w:rsidRPr="00555FC1">
              <w:rPr>
                <w:color w:val="000000"/>
                <w:sz w:val="20"/>
              </w:rPr>
            </w:r>
            <w:proofErr w:type="spellEnd"/>
            <w:r w:rsidRPr="00555FC1">
              <w:rPr>
                <w:color w:val="000000"/>
                <w:sz w:val="20"/>
              </w:rPr>
            </w:r>
            <w:r w:rsidRPr="00555FC1">
              <w:rPr>
                <w:color w:val="000000"/>
                <w:sz w:val="20"/>
              </w:rPr>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The small k_f effect reflects saturation. Removing corrosion-product formation raises 672 h mass loss from 0.33% to 0.74%, so its influence is substantial.</w:t>
            </w:r>
            <w:proofErr w:type="spellStart"/>
            <w:r w:rsidRPr="00646011">
              <w:rPr>
                <w:color w:val="000000"/>
                <w:sz w:val="20"/>
              </w:rPr>
            </w:r>
            <w:proofErr w:type="spellEnd"/>
            <w:r w:rsidRPr="00646011">
              <w:rPr>
                <w:color w:val="000000"/>
                <w:sz w:val="20"/>
              </w:rPr>
            </w:r>
            <w:r>
              <w:rPr>
                <w:color w:val="000000"/>
                <w:sz w:val="20"/>
              </w:rPr>
            </w:r>
            <w:r w:rsidRPr="00646011">
              <w:rPr>
                <w:color w:val="000000"/>
                <w:sz w:val="20"/>
              </w:rPr>
            </w:r>
            <w:proofErr w:type="gramStart"/>
            <w:r w:rsidRPr="00646011">
              <w:rPr>
                <w:color w:val="000000"/>
                <w:sz w:val="20"/>
              </w:rPr>
            </w:r>
            <w:proofErr w:type="gramEnd"/>
            <w:r w:rsidRPr="00646011">
              <w:rPr>
                <w:color w:val="000000"/>
                <w:sz w:val="20"/>
              </w:rPr>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 5c shows a diffuse, volumetric corrosion-product field, not a surface film. The Results and captions use “corrosion product”.</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O₂ depletion contributes but does not explain the deceleration alone. Removing the corrosion-product effect changes the time exponent from 0.4 to 0.69 and raises 672 h mass loss from 0.333% to 0.744%.</w:t>
            </w:r>
            <w:r w:rsidRPr="00646011">
              <w:rPr>
                <w:color w:val="000000"/>
                <w:sz w:val="20"/>
              </w:rPr>
            </w:r>
            <w:r w:rsidRPr="00646011">
              <w:rPr>
                <w:color w:val="000000"/>
                <w:sz w:val="20"/>
              </w:rPr>
            </w:r>
            <w:r>
              <w:rPr>
                <w:color w:val="000000"/>
                <w:sz w:val="20"/>
              </w:rPr>
            </w:r>
            <w:r w:rsidRPr="00646011">
              <w:rPr>
                <w:color w:val="000000"/>
                <w:sz w:val="20"/>
              </w:rPr>
            </w:r>
            <w:r w:rsidRPr="00646011">
              <w:rPr>
                <w:color w:val="000000"/>
                <w:sz w:val="20"/>
              </w:rPr>
            </w:r>
            <w:r w:rsidRPr="00646011">
              <w:rPr>
                <w:color w:val="000000"/>
                <w:sz w:val="20"/>
              </w:rPr>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The deceleration has two contributors: O₂ depletion and corrosion-product accumulation. Setting D_eff = D raises 672 h mass loss from 0.333% to 0.744% (k_f = 0: 0.730%).</w:t>
            </w:r>
            <w:proofErr w:type="spellStart"/>
            <w:r w:rsidRPr="00CA6A0B">
              <w:rPr>
                <w:color w:val="000000"/>
                <w:sz w:val="20"/>
              </w:rPr>
            </w:r>
            <w:proofErr w:type="spellEnd"/>
            <w:r>
              <w:rPr>
                <w:color w:val="000000"/>
                <w:sz w:val="20"/>
              </w:rPr>
            </w:r>
            <w:r w:rsidRPr="00CA6A0B">
              <w:rPr>
                <w:color w:val="000000"/>
                <w:sz w:val="20"/>
              </w:rPr>
            </w:r>
            <w:proofErr w:type="gramStart"/>
            <w:r w:rsidRPr="00CA6A0B">
              <w:rPr>
                <w:color w:val="000000"/>
                <w:sz w:val="20"/>
              </w:rPr>
            </w:r>
            <w:proofErr w:type="gramEnd"/>
            <w:r w:rsidRPr="00CA6A0B">
              <w:rPr>
                <w:color w:val="000000"/>
                <w:sz w:val="20"/>
              </w:rPr>
            </w:r>
            <w:proofErr w:type="spellStart"/>
            <w:r w:rsidRPr="00CA6A0B">
              <w:rPr>
                <w:color w:val="000000"/>
                <w:sz w:val="20"/>
              </w:rPr>
            </w:r>
            <w:proofErr w:type="spellEnd"/>
            <w:r w:rsidRPr="00CA6A0B">
              <w:rPr>
                <w:color w:val="000000"/>
                <w:sz w:val="20"/>
              </w:rPr>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replaced by corrosion-product saturation F/F_max (F_max = 4.2045×10⁻³ g mm⁻³). Labels, caption and Methods updated.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The 48 h refresh is not modelled and no convection is assumed (u = 0). O₂ is resupplied at the air interface; Zn²⁺ is not reset. A fixed boundary O₂ raised 672 h mass loss ~30%. Clarified in Methods and Discussion.</w:t>
            </w:r>
            <w:proofErr w:type="gramStart"/>
            <w:r w:rsidRPr="00CA6A0B">
              <w:rPr>
                <w:color w:val="000000"/>
                <w:sz w:val="20"/>
              </w:rPr>
            </w:r>
            <w:proofErr w:type="gramEnd"/>
            <w:r w:rsidRPr="00CA6A0B">
              <w:rPr>
                <w:color w:val="000000"/>
                <w:sz w:val="20"/>
              </w:rPr>
            </w:r>
            <w:r>
              <w:rPr>
                <w:color w:val="000000"/>
                <w:sz w:val="20"/>
              </w:rPr>
            </w:r>
            <w:r w:rsidRPr="00CA6A0B">
              <w:rPr>
                <w:color w:val="000000"/>
                <w:sz w:val="20"/>
              </w:rPr>
            </w:r>
            <w:r>
              <w:rPr>
                <w:color w:val="000000"/>
                <w:sz w:val="20"/>
              </w:rPr>
            </w:r>
            <w:r w:rsidRPr="00CA6A0B">
              <w:rPr>
                <w:color w:val="000000"/>
                <w:sz w:val="20"/>
              </w:rPr>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Disc and stent use the same 30 × 30 × 30 mm domain and boundary conditions. The “3×” refers to the minimum domain-size criterion. The 40 h vs 100 h transition is therefore not a domain effect. Methods clarified.</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3.5 mg L⁻¹ is below air-saturated saline, so k_ORR is an effective parameter that may absorb this. It affects absolute rates but not the disc-vs-stent comparison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model domain is 30 × 30 × 30 mm for disc and stent (Methods, Table S4), with O₂ supplied at the electrolyte–air interface. C_O₂ is justified separately for in vitro and physiological cases.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media differ (r-SBF, Tris-buffered vs HBSS), which contributes to the RMSE difference. The calibration data also show rapid late mass loss, attributed to localized corrosion but possibly cleaning error or complex films. The model does not capture this (stated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justification is removed. The model is now described as a homogenized ZnO-based representation that does not resolve phosphate, carbonate, calcium or chloride phases.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Calibration data (Liu et al.) are in r-SBF, with more complex chemistry (extra ions, Tris buffer, more precipitation). Validation data are in Ca/Mg-free HBSS, simpler and closer to the single ZnO phase in the model, which explains the lower validation RMSE (0.0159% vs 0.042%). The errors are not directly comparable and both are small relative to experimental scatter (SD 0.115% at 28 days, n = 3).</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Table S11 added (mean ± SD, simulated value, error, error/SD). Validation RMSE = 0.0159% (8.6% of the mean); all points within 0.35 SD. Calibration RMSE 0.042% is ~24% of the mean literature value. The fit lies within experimental scatter, so validation cannot discriminate models differing by less than this.</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Model output is saved hourly, so the Damköhler transition is resolved at ~40 h (disc) and ~100 h (stent). It is a model prediction, as the first measurement is at 24 h.</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14 d and 28 d masses (3.03 ± 0.74 and 3.67 ± 1.33 mg; p ≈ 0.5) are not distinguishable. No plateau is claimed: ~67% of the 28-day loss occurs in week 1, then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removed. Errors at 336 h reported instead (Zn²⁺ 44%, pH 2.8%, 0.21 pH units). The comparison is qualitative: the model has no buffer, whereas r-SBF is Tris-buffered.</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optimum (0.042%, iteration 22) is 8% below the iteration-6 value (0.046%), a 0.004 percentage-point difference, negligible against experimental scatter (SD 0.115%). The plateau is expected: after the initial sampling, the guided search concentrated around the best region, so many evaluations lie close together (seven within 0.042–0.049%, spanning k_f 12–58, k_d 15–62, k_ORR 0.25–0.7). The lowest-RMSE point was adopted and tested on independent data (validation RMSE 0.0159%; stent).</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Sensitivity analysis (Fig. 3a) and optimization (Fig. 3b, Supplementary Fig. 5b) already show parameter behavior, so a separate profile likelihood is not needed. k_f is the least influential parameter (see A2.2). Among the seven fits within 0.05%, k_f and k_ORR are correlated (Spearman ρ = 0.93) while k_d is weakly constrained (15–62), so the parameters are effective and not individually interpreted.</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was performed before calibration, so its ranges (Table S5) are broad exploratory bounds, not tied to the calibrated values. ε and τ are literature estimates (no direct data available). F_max is calculated from the Langmuir saturation formulation in the manuscript. [Zn]_sat is from the cited literature. The corrosion-product mechanism is tested separately (ablation, A2.2; Fig. 4 sweeps).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 control is a model premise built on experimental observation, so the Morris ranking alone does not prove it. The test is agreement with data not used in calibration (28-day immersion, stent). The model also allows a reaction-limited stage. This supports the assumption in the tested conditions, not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SA:V scaling of the disc gives 12.8% for the stent, about twice the model's 6.0% (SA:V 53.9 vs 1.40). Near-linear SA:V dependence is expected and reported in the literature. The model's added value is spatial: transport control changes total mass loss moderately but strongly changes where material is lost (Figs. 7–8). Table S4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added value is the spatial distribution, shown by the individual simulations against their baselines (stent vs disc, Fig. 6; curved/spaced vs straight, Fig. 8). Total mass loss changes modestly; spatial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Stent geometry and settings are in Table S4 and Figure S3. The Yang et al. study (source of the in vivo comparison) is now also cited.</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Abstract and Conclusions now say ~6% is of the same order of magnitude as in vivo observations (flow, proteins and O₂ supply are not modelled).</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The ORR branch gives the reaction-supported rate; the diffusion branch limits recession to the available O₂ flux in the discrete field. The min() is a numerical mass-supply safeguard, not two separate mechanisms.</w:t>
            </w:r>
            <w:r w:rsidR="003914C2">
              <w:rPr>
                <w:color w:val="000000"/>
                <w:sz w:val="20"/>
              </w:rPr>
            </w:r>
            <w:r w:rsidRPr="004E2B70">
              <w:rPr>
                <w:color w:val="000000"/>
                <w:sz w:val="20"/>
              </w:rPr>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t>[Zn]_sat in Eq. 14 is the interfacial Stefan-condition value, not a precipitation threshold. Eq. 11 is an effective first-order law (k_f lumps nucleation and speciation). The Zn²⁺ overprediction (57 vs ~40 mg L⁻¹) is acknowledged as a limitation.</w:t>
            </w:r>
            <w:r w:rsidRPr="009E36D0">
              <w:rPr>
                <w:color w:val="000000"/>
                <w:sz w:val="20"/>
              </w:rPr>
            </w:r>
            <w:proofErr w:type="spellStart"/>
            <w:r w:rsidRPr="009E36D0">
              <w:rPr>
                <w:color w:val="000000"/>
                <w:sz w:val="20"/>
              </w:rPr>
            </w:r>
            <w:proofErr w:type="spellEnd"/>
            <w:r w:rsidRPr="009E36D0">
              <w:rPr>
                <w:color w:val="000000"/>
                <w:sz w:val="20"/>
              </w:rPr>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F and F_max are mass-based (g mm⁻³; F_max = ρ_film(1−ε)); Cl⁻ is molar, so k_d is in L² mol⁻² h⁻¹ (Table 2,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Cl⁻ exponent in Eq. 11 is an effective (empirical) order, since Eq. 5 is an overall reaction. Cl⁻ is regenerated during corrosion-product breakdown and is in large excess (142.3 mmol L⁻¹; consumption ≤6% disc, &lt;1% stent), so its net consumption is negligible.</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on the electrolyte side of the level set, and is not attached to the receding interface. The ZnO/Zn volume ratio (~1.6) is not represented.</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(FreeFEM int2d, levelset option) with no smoothing. A smoothed delta (width = minimum mesh size) is used only in post-processing.</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removed from the Abstract. The 18.9M-element mesh is used only for the final validation run (68.9 h, 50 cores). Calibration used a 0.8M-element mesh (~2 h per run), mapped to the fine mesh with 0.004% error. 3D was kept so calibration and stent use the same model.</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stent interface mesh is 5 µm, about one element per local recession (3–8 µm). The interface is the zero contour of a P1 function located within elements, conclusions use integrated quantities (mass loss, mean penetration; disc mass loss changes by &lt;0.2% at 18.9M elements, Section S2) and outer/inner differences of several µm. Local jaggedness is at the mesh scale and is not interpreted.</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Original sweeps (k_f 100, k_d 30, k_ORR 1.0) gave 0.39% at 168 h vs ~0.19% in Fig. 5a. Fig. 4 is recomputed around the calibrated values (rounded: k_f = 35, k_d = 27, k_ORR = 0.5; Table 2: 35.91, 27.17, 0.51). The baseline gives 0.20% at 168 h, matching Fig. 5a.</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Text ranges were wrong. From Fig. 8c: curved wires 2.4–2.7 µm, spacing configurations 2.1–2.4 µm. Results corrected.</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local penetration depth around the perimeter. Caption updated.</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ratios come from different places: 13.2× is the isolated 150° arc (Fig. 8d) and 1.8× the stent crown (Fig. 7d; 8.55/4.76 µm). The 13.2× has a tiny denominator (0.28 µm, below the mesh size); the absolute differences are similar (3.4 vs 3.8 µm). The isolated arc (radius 0.63 mm) also confines its inner side more.</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Balance resolution 0.1 mg. No blank cleaning controls were run, but all samples followed the same cleaning protocol (chromic acid, room temperature, 10 min), limiting bias between groups. The scatter (SD 0.115%) is far above the resolution.</w:t>
            </w:r>
          </w:p>
        </w:tc>
        <w:tc>
          <w:tcPr>
            <w:tcW w:w="1587" w:type="dxa"/>
          </w:tcPr>
          <w:p w14:paraId="57AEB8DC" w14:textId="77777777" w:rsidR="003F785C" w:rsidRDefault="00E9439A">
            <w:r>
              <w:rPr>
                <w:sz w:val="20"/>
              </w:rPr>
              <w:t>Closed</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Chromic acid: room temperature, 10 min. Discs immersed flat. No CO₂ incubator (static, 37 °C). HBSS pH 7.4 (now in Methods).</w:t>
            </w:r>
          </w:p>
        </w:tc>
        <w:tc>
          <w:tcPr>
            <w:tcW w:w="1587" w:type="dxa"/>
          </w:tcPr>
          <w:p w14:paraId="01FD47B6" w14:textId="77777777" w:rsidR="003F785C" w:rsidRDefault="00E9439A">
            <w:r>
              <w:rPr>
                <w:sz w:val="20"/>
              </w:rPr>
              <w:t>Closed</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Zn²⁺ was not measured by ICP in this study. Stated in Limitations.</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No direct mechanism test (FIB/SEM film thickness, stirred or different-O₂ experiment) was performed. Stated in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The comparison is in the Introduction. A longer discussion is not feasible within the word limit.</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Code Availability statement removed. Data Availability Statement added (Zenodo, DOI 10.5281/zenodo.23053517).</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Calibration is tractable (0.8M-element mesh, ~2 h per run; Table S4). The high-fidelity simulations (18.9M elements) are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Headings are numbered in the submission file (Section 2.3 = Numerical Implementation and Simulation Setup); numbers were lost in the reviewer's copy.</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 “an R²”; “shown in (Figure 4g–i)” → “shown in Figure 4g–i”. “Literature” is capitalised only in a reference title, so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Published with these spellings; the difference is only the capital B, so it will not be changed.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Both references updated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Da (ratio of O₂ consumption to O₂ transport) is defined in the SI (Eq. S3, Section S1). Da &lt; 1 is reaction control, Da &gt; 1 diffusion control; transition at Da = 1 (~40 h,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