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Pr="001A2EB4">
        <w:rPr>
          <w:lang w:val="en-US"/>
        </w:rPr>
        <w:fldChar w:fldCharType="separate"/>
      </w:r>
      <w:r w:rsidR="00F60B2A" w:rsidRPr="00F60B2A">
        <w:rPr>
          <w:rFonts w:cs="Times New Roman"/>
          <w:vertAlign w:val="superscript"/>
        </w:rPr>
        <w:t xml:space="preserve">[1–3]</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 xml:space="preserve">[4,5]</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 xml:space="preserve">[6–9]</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 xml:space="preserve">[10,11]</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 xml:space="preserve">[12,13]</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 xml:space="preserve">[14,15]</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 xml:space="preserve">[16,17]</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 xml:space="preserve">[18]</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 xml:space="preserve">[18,19]</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 xml:space="preserve">[20]</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lang w:val="en-US"/>
        </w:rPr>
        <w:fldChar w:fldCharType="separate"/>
      </w:r>
      <w:r w:rsidR="00F60B2A" w:rsidRPr="00F60B2A">
        <w:rPr>
          <w:rFonts w:cs="Times New Roman"/>
          <w:vertAlign w:val="superscript"/>
        </w:rPr>
        <w:t xml:space="preserve">[21,22]</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 xml:space="preserve">[23]</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 xml:space="preserve">[24]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 xml:space="preserve">[25]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 xml:space="preserve">[26]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 xml:space="preserve">[1]</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 xml:space="preserve">[26,27]</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 xml:space="preserve">[22,26,27]</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 xml:space="preserve">[28]</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 xml:space="preserve">[27]</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[29]\\nosupersub{}","plainCitation":"[29]","noteIndex":0},"citationItems":[{"id":3871,"uris":["http://zotero.org/users/16939557/items/VR5DEBC2"],"itemData":{"id":3871,"type":"article-journal","citation-key":"bowenZincExhibitsIdeal2013","container-title":"Advanced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 xml:space="preserve">[29]</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6923D586" w14:textId="77777777" w:rsidR="0008134C" w:rsidRPr="001A2EB4" w:rsidRDefault="0008134C" w:rsidP="00E54A50">
      <w:pPr>
        <w:pStyle w:val="BodyText"/>
        <w:ind w:firstLine="0"/>
        <w:rPr>
          <w:rFonts w:cs="Times New Roman"/>
          <w:lang w:val="en-US"/>
        </w:rPr>
      </w:pP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 xml:space="preserve">[18,19]</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 xml:space="preserve">[30]</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 xml:space="preserve">[22]</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 xml:space="preserve">[22]</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 xml:space="preserve">[19]</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 xml:space="preserve">[19]</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 xml:space="preserve">[31]</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w:t>
      </w:r>
      <w:r w:rsidR="0058436A" w:rsidRPr="001A2EB4">
        <w:rPr>
          <w:b/>
          <w:bCs/>
          <w:noProof/>
          <w:lang w:val="en-US"/>
        </w:rPr>
        <w:t>2</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w:t>
      </w:r>
      <w:r w:rsidR="0058436A" w:rsidRPr="001A2EB4">
        <w:rPr>
          <w:b/>
          <w:bCs/>
          <w:noProof/>
          <w:lang w:val="en-US"/>
        </w:rPr>
        <w:t>2</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 xml:space="preserve">[32]</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 xml:space="preserve">[33]</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S1,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S2)</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Equation S1</w:t>
      </w:r>
      <w:r w:rsidR="00780FF0" w:rsidRPr="001A2EB4">
        <w:rPr>
          <w:lang w:val="en-US"/>
        </w:rPr>
        <w:t>), Zn²⁺ concentration, pH (</w:t>
      </w:r>
      <w:r w:rsidR="00780FF0" w:rsidRPr="001A2EB4">
        <w:rPr>
          <w:b/>
          <w:bCs/>
          <w:lang w:val="en-US"/>
        </w:rPr>
        <w:t>Equation S2</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Equation S3</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S3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5BC5B0D0" w14:textId="77777777" w:rsidR="00633455" w:rsidRPr="001A2EB4" w:rsidRDefault="00633455" w:rsidP="00D26518">
      <w:pPr>
        <w:pStyle w:val="BodyText"/>
        <w:ind w:firstLine="0"/>
        <w:rPr>
          <w:lang w:val="en-US"/>
        </w:rPr>
      </w:pP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 xml:space="preserve">[34]</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 xml:space="preserve">[34]</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[35]\\nosupersub{}","plainCitation":"[35]","noteIndex":0},"citationItems":[{"id":4251,"uris":["http://zotero.org/users/16939557/items/GLJFP5WA"],"itemData":{"id":4251,"type":"book","citation-key":"Lide1991","edition":"72","publisher":"CRC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 xml:space="preserve">[35]</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[35]\\nosupersub{}","plainCitation":"[35]","noteIndex":0},"citationItems":[{"id":4251,"uris":["http://zotero.org/users/16939557/items/GLJFP5WA"],"itemData":{"id":4251,"type":"book","citation-key":"Lide1991","edition":"72","publisher":"CRC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 xml:space="preserve">[35]</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[35]\\nosupersub{}","plainCitation":"[35]","noteIndex":0},"citationItems":[{"id":4251,"uris":["http://zotero.org/users/16939557/items/GLJFP5WA"],"itemData":{"id":4251,"type":"book","citation-key":"Lide1991","edition":"72","publisher":"CRC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 xml:space="preserve">[35]</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[36]\\nosupersub{}","plainCitation":"[36]","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 xml:space="preserve">[36]</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[35]\\nosupersub{}","plainCitation":"[35]","noteIndex":0},"citationItems":[{"id":4251,"uris":["http://zotero.org/users/16939557/items/GLJFP5WA"],"itemData":{"id":4251,"type":"book","citation-key":"Lide1991","edition":"72","publisher":"CRC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 xml:space="preserve">[35]</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[37]\\nosupersub{}","plainCitation":"[37]","noteIndex":0},"citationItems":[{"id":4093,"uris":["http://zotero.org/users/16939557/items/UL4PDBDZ"],"itemData":{"id":4093,"type":"article-journal","abstract":"Porous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 xml:space="preserve">[37]</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[38]\\nosupersub{}","plainCitation":"[38]","noteIndex":0},"citationItems":[{"id":3991,"uris":["http://zotero.org/users/16939557/items/PJ5WSM85"],"itemData":{"id":3991,"type":"chapter","abstract":"Abstract\n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 xml:space="preserve">[38]</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 xml:space="preserve">[34]</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[39]\\nosupersub{}","plainCitation":"[39]","noteIndex":0},"citationItems":[{"id":3507,"uris":["http://zotero.org/users/16939557/items/3SWFGNFX"],"itemData":{"id":3507,"type":"article-journal","citation-key":"chenFluidinducedCorrosionBehavior2021","container-title":"Journal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 xml:space="preserve">[39]</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[40]\\nosupersub{}","plainCitation":"[40]","noteIndex":0},"citationItems":[{"id":4092,"uris":["http://zotero.org/users/16939557/items/946AFXXG"],"itemData":{"id":4092,"type":"article-journal","abstract":"The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 xml:space="preserve">[40]</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 xml:space="preserve">[21]</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[41]\\nosupersub{}","plainCitation":"[41]","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 xml:space="preserve">[41]</w:t>
            </w:r>
            <w:r w:rsidRPr="001A2EB4">
              <w:rPr>
                <w:rFonts w:cs="Times New Roman"/>
                <w:sz w:val="22"/>
                <w:szCs w:val="22"/>
                <w:lang w:val="en-US"/>
              </w:rPr>
              <w:fldChar w:fldCharType="end"/>
            </w:r>
          </w:p>
        </w:tc>
      </w:tr>
      <w:bookmarkEnd w:id="10"/>
    </w:tbl>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[42]\\nosupersub{}","plainCitation":"[42]","noteIndex":0},"citationItems":[{"id":3943,"uris":["http://zotero.org/users/16939557/items/QAXDRACS"],"itemData":{"id":3943,"type":"article-journal","citation-key":"liuInitialFormationCorrosion2018","container-title":"Journal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[42]</w:t>
      </w:r>
      <w:r w:rsidR="00435C38" w:rsidRPr="001A2EB4">
        <w:rPr>
          <w:rFonts w:cs="Times New Roman"/>
          <w:lang w:val="en-US"/>
        </w:rPr>
        <w:fldChar w:fldCharType="end"/>
      </w:r>
      <w:r w:rsidR="00435C38" w:rsidRPr="001A2EB4">
        <w:rPr>
          <w:lang w:val="en-US"/>
        </w:rPr>
        <w:t xml:space="preserve"> (Section S5).</w:t>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[10]\\nosupersub{}","plainCitation":"[10]","noteIndex":0},"citationItems":[{"id":3479,"uris":["http://zotero.org/users/16939557/items/VGDYQBA9"],"itemData":{"id":3479,"type":"article-journal","citation-key":"mostaedZincbasedAlloysDegradable2018","container-title":"Acta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rPr>
          <w:lang w:val="en-US"/>
        </w:rPr>
        <w:fldChar w:fldCharType="separate"/>
      </w:r>
      <w:r w:rsidR="00F60B2A" w:rsidRPr="00F60B2A">
        <w:rPr>
          <w:rFonts w:cs="Times New Roman"/>
          <w:vertAlign w:val="superscript"/>
        </w:rPr>
        <w:t xml:space="preserve">[10]</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2.3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 xml:space="preserve">[10]</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1</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 xml:space="preserve">[21]</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3</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w:t>
      </w:r>
      <w:r w:rsidR="0058436A" w:rsidRPr="001A2EB4">
        <w:rPr>
          <w:b/>
          <w:bCs/>
          <w:noProof/>
          <w:lang w:val="en-US"/>
        </w:rPr>
        <w:t>2</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S5).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4</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4</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4</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3</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[42,43]\\nosupersub{}","plainCitation":"[42,43]","noteIndex":0},"citationItems":[{"id":2423,"uris":["http://zotero.org/users/16939557/items/CXTYID6S"],"itemData":{"id":2423,"type":"article-journal","citation-key":"mengInitialFormationCorrosion2019","container-title":"Bioactive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 xml:space="preserve">[42,43]</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5</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Section S6),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 xml:space="preserve">[43]</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[42]\\nosupersub{}","plainCitation":"[42]","noteIndex":0},"citationItems":[{"id":3943,"uris":["http://zotero.org/users/16939557/items/QAXDRACS"],"itemData":{"id":3943,"type":"article-journal","citation-key":"liuInitialFormationCorrosion2018","container-title":"Journal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 xml:space="preserve">[42]</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[42]\\nosupersub{}","plainCitation":"[42]","noteIndex":0},"citationItems":[{"id":3943,"uris":["http://zotero.org/users/16939557/items/QAXDRACS"],"itemData":{"id":3943,"type":"article-journal","citation-key":"liuInitialFormationCorrosion2018","container-title":"Journal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 xml:space="preserve">[42]</w:t>
      </w:r>
      <w:r w:rsidRPr="001A2EB4">
        <w:rPr>
          <w:rFonts w:cs="Times New Roman"/>
          <w:lang w:val="en-US"/>
        </w:rPr>
        <w:fldChar w:fldCharType="end"/>
      </w:r>
      <w:r w:rsidR="002A379F" w:rsidRPr="001A2EB4">
        <w:rPr>
          <w:rFonts w:cs="Times New Roman"/>
          <w:lang w:val="en-US"/>
        </w:rPr>
        <w:t xml:space="preserve"> (Table S8)</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5</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 xml:space="preserve">[10]</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S9).</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6</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7</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Figure 7</w:t>
      </w:r>
      <w:r w:rsidR="004E40FB" w:rsidRPr="001A2EB4">
        <w:rPr>
          <w:b/>
          <w:bCs/>
          <w:lang w:val="en-US"/>
        </w:rPr>
        <w:fldChar w:fldCharType="end"/>
      </w:r>
      <w:r w:rsidRPr="001A2EB4">
        <w:rPr>
          <w:lang w:val="en-US"/>
        </w:rPr>
        <w:t xml:space="preserve">b; Section S7).</w:t>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7</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7</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S7).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 xml:space="preserve">[13]</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8c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8d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8</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which enabled the sensitivity, calibration and uncertainty analyses (Sections S4–S6),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 xml:space="preserve">[25]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24D5A5C1" w14:textId="1B415507" w:rsidR="005757F6" w:rsidRPr="005757F6" w:rsidRDefault="005757F6" w:rsidP="005757F6">
      <w:pPr>
        <w:pStyle w:val="BodyText"/>
        <w:rPr>
          <w:lang w:val="en-US"/>
        </w:rPr>
      </w:pPr>
      <w:r w:rsidRPr="005757F6">
        <w:rPr>
          <w:lang w:val="en-US"/>
        </w:rPr>
        <w:t xml:space="preserve">Structural optimization of biomedical implants, from patient-specific bone replacements to porous scaffolds, has so far targeted mechanical performance in the as-fabricated state [44,45]. For biodegradable implants this is insufficient, because geometry, transport, and degradation are coupled: degradation reshapes the structure that carries load, so mechanical properties evolve with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shows that Zn biodegradation under physiological conditions is a self-limiting, oxygen-transport-controlled process, and that implant geometry determines both how fast and where material is lost. A 3D reaction-diffusion framework with only three calibrated kinetic parameters reproduced the independent 28-day mass-loss response with an RMSE of 0.0159%. Sensitivity and mechanistic analyses identified oxygen availability as the dominant control: corrosion-product accumulation progressively restricts oxygen transport, shifting degradation from reaction-controlled to diffusion-controlled behavior. Most importantly, geometry-dependent degradation emerged from this transport physics alone, without any prescribed spatial variation in corrosion kinetics. The disc-calibrated parameters transferred to a six-crown stent without geometry-specific recalibration, predicting approximately 6% mass loss after 672 h and pronounced localization at oxygen-accessible crown surfaces, while simplified wires showed that curvature and inter-strut spacing modestly change cumulative mass loss but strongly control where material is lost. Cumulative mass loss and nominal corrosion rate alone can therefore conceal the localized recession that governs strut thinning and structural failure. Geometry is thus a decisive design variable for degradation, and the proposed framework establishes a foundation for degradation-aware structural optimization of biodegradable implants, particularly Zn stents.</w:t>
      </w:r>
      <w:proofErr w:type="gramStart"/>
      <w:proofErr w:type="gramEnd"/>
      <w:bookmarkEnd w:id="24"/>
    </w:p>
    <w:p w14:paraId="7ED69ABA" w14:textId="77777777" w:rsidR="0063546E" w:rsidRPr="0063546E" w:rsidRDefault="0063546E" w:rsidP="0063546E">
      <w:pPr>
        <w:pStyle w:val="BodyText"/>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7376472D" w14:textId="77777777" w:rsidR="00F60B2A" w:rsidRDefault="00F60B2A" w:rsidP="00F60B2A">
      <w:pPr>
        <w:pStyle w:val="Bibliography"/>
      </w:pPr>
      <w:r>
        <w:t xml:space="preserve">4.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5.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6.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7.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8.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9.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10.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11.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12.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13.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C554B7F" w14:textId="77777777" w:rsidR="00F60B2A" w:rsidRDefault="00F60B2A" w:rsidP="00F60B2A">
      <w:pPr>
        <w:pStyle w:val="Bibliography"/>
      </w:pPr>
      <w:r>
        <w:t xml:space="preserve">14.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15.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16.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17.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13EF2147" w14:textId="77777777" w:rsidR="00F60B2A" w:rsidRDefault="00F60B2A" w:rsidP="00F60B2A">
      <w:pPr>
        <w:pStyle w:val="Bibliography"/>
      </w:pPr>
      <w:r>
        <w:t xml:space="preserve">18.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19.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6FE1E963" w14:textId="77777777" w:rsidR="00F60B2A" w:rsidRDefault="00F60B2A" w:rsidP="00F60B2A">
      <w:pPr>
        <w:pStyle w:val="Bibliography"/>
      </w:pPr>
      <w:r>
        <w:t xml:space="preserve">20.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21.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22.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1496DFA8" w14:textId="77777777" w:rsidR="00F60B2A" w:rsidRDefault="00F60B2A" w:rsidP="00F60B2A">
      <w:pPr>
        <w:pStyle w:val="Bibliography"/>
      </w:pPr>
      <w:r>
        <w:lastRenderedPageBreak/>
        <w:t xml:space="preserve">23.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24.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1CBBA7EB" w14:textId="77777777" w:rsidR="00F60B2A" w:rsidRDefault="00F60B2A" w:rsidP="00F60B2A">
      <w:pPr>
        <w:pStyle w:val="Bibliography"/>
      </w:pPr>
      <w:r>
        <w:t xml:space="preserve">25.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26.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7984CC10" w14:textId="77777777" w:rsidR="00F60B2A" w:rsidRDefault="00F60B2A" w:rsidP="00F60B2A">
      <w:pPr>
        <w:pStyle w:val="Bibliography"/>
      </w:pPr>
      <w:r>
        <w:t xml:space="preserve">27.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28.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307D26E4" w14:textId="77777777" w:rsidR="00F60B2A" w:rsidRDefault="00F60B2A" w:rsidP="00F60B2A">
      <w:pPr>
        <w:pStyle w:val="Bibliography"/>
      </w:pPr>
      <w:r>
        <w:t xml:space="preserve">29.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30.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31.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32.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33.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34.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35.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36.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37.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38.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39.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40.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41.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42.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0737480F" w14:textId="77777777" w:rsidR="00F60B2A" w:rsidRDefault="00F60B2A" w:rsidP="00F60B2A">
      <w:pPr>
        <w:pStyle w:val="Bibliography"/>
      </w:pPr>
      <w:r>
        <w:t xml:space="preserve">43.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0737480F" w14:textId="77777777" w:rsidR="00F60B2A" w:rsidRDefault="00F60B2A" w:rsidP="00F60B2A">
      <w:pPr>
        <w:pStyle w:val="Bibliography"/>
      </w:pPr>
      <w:r>
        <w:t xml:space="preserve">44. A. Sutradhar, G. H. Paulino, M. J. Miller, and T. H. Nguyen, “Topological Optimization for Designing Patient-Specific Large Craniofacial Segmental Bone Replacements,” </w:t>
      </w:r>
      <w:r>
        <w:rPr>
          <w:i/>
          <w:iCs/>
        </w:rPr>
        <w:t xml:space="preserve">Proceedings of the National Academy of Sciences</w:t>
      </w:r>
      <w:r>
        <w:t xml:space="preserve"> </w:t>
      </w:r>
      <w:r>
        <w:rPr>
          <w:i/>
          <w:iCs/>
        </w:rPr>
        <w:t xml:space="preserve">107</w:t>
      </w:r>
      <w:r>
        <w:t xml:space="preserve">, no. 30 (2010): 13222–13227, https://doi.org/10.1073/pnas.1001208107.</w:t>
      </w:r>
    </w:p>
    <w:p w14:paraId="0737480F" w14:textId="77777777" w:rsidR="00F60B2A" w:rsidRDefault="00F60B2A" w:rsidP="00F60B2A">
      <w:pPr>
        <w:pStyle w:val="Bibliography"/>
      </w:pPr>
      <w:r>
        <w:t xml:space="preserve">45. S. J. Hollister, “Porous Scaffold Design for Tissue Engineering,” </w:t>
      </w:r>
      <w:r>
        <w:rPr>
          <w:i/>
          <w:iCs/>
        </w:rPr>
        <w:t xml:space="preserve">Nature Materials</w:t>
      </w:r>
      <w:r>
        <w:t xml:space="preserve"> </w:t>
      </w:r>
      <w:r>
        <w:rPr>
          <w:i/>
          <w:iCs/>
        </w:rPr>
        <w:t xml:space="preserve">4</w:t>
      </w:r>
      <w:r>
        <w:t xml:space="preserve">, no. 7 (2005): 518–524, https://doi.org/10.1038/nmat1421.</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