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 xml:space="preserve">Henaka Ariyarathna, Xuan Yang, </w:t>
      </w:r>
      <w:proofErr w:type="spellStart"/>
      <w:r>
        <w:t>Aijun</w:t>
      </w:r>
      <w:proofErr w:type="spellEnd"/>
      <w:r>
        <w:t xml:space="preserve"> Huang, Yunlong Tang</w:t>
      </w:r>
      <w:r>
        <w:rPr>
          <w:vertAlign w:val="superscript"/>
        </w:rPr>
        <w:t>*</w:t>
      </w:r>
      <w:r>
        <w:t xml:space="preserve">, </w:t>
      </w:r>
      <w:proofErr w:type="spellStart"/>
      <w:r>
        <w:t>Yuman</w:t>
      </w:r>
      <w:proofErr w:type="spellEnd"/>
      <w:r>
        <w:t xml:space="preserve">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 w14:paraId="7C71BF1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Equations S1–S3; Table S1; </w:t>
            </w:r>
            <w:del w:id="0" w:author="Claude" w:date="2026-10-08T22:18:00Z">
              <w:r>
                <w:rPr>
                  <w:sz w:val="20"/>
                  <w:szCs w:val="20"/>
                </w:rPr>
                <w:delText>Figures</w:delText>
              </w:r>
            </w:del>
            <w:ins w:id="1" w:author="Claude" w:date="2026-10-08T22:18:00Z">
              <w:r>
                <w:rPr>
                  <w:sz w:val="20"/>
                  <w:szCs w:val="20"/>
                </w:rPr>
                <w:t>Figure</w:t>
              </w:r>
            </w:ins>
            <w:r>
              <w:rPr>
                <w:sz w:val="20"/>
                <w:szCs w:val="20"/>
              </w:rPr>
              <w:t xml:space="preserve"> S1</w:t>
            </w:r>
            <w:del w:id="2" w:author="Claude" w:date="2026-10-08T22:18:00Z">
              <w:r>
                <w:rPr>
                  <w:sz w:val="20"/>
                  <w:szCs w:val="20"/>
                </w:rPr>
                <w:delText>–S2</w:delText>
              </w:r>
            </w:del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S4; Tables S2–S3; Figures </w:t>
            </w:r>
            <w:del w:id="3" w:author="Claude" w:date="2026-10-08T22:17:00Z">
              <w:r>
                <w:rPr>
                  <w:sz w:val="20"/>
                  <w:szCs w:val="20"/>
                </w:rPr>
                <w:delText>S3</w:delText>
              </w:r>
            </w:del>
            <w:ins w:id="4" w:author="Claude" w:date="2026-10-08T22:17:00Z">
              <w:r>
                <w:rPr>
                  <w:sz w:val="20"/>
                  <w:szCs w:val="20"/>
                </w:rPr>
                <w:t>S2</w:t>
              </w:r>
            </w:ins>
            <w:r>
              <w:rPr>
                <w:sz w:val="20"/>
                <w:szCs w:val="20"/>
              </w:rPr>
              <w:t>–</w:t>
            </w:r>
            <w:del w:id="5" w:author="Claude" w:date="2026-10-08T22:18:00Z">
              <w:r>
                <w:rPr>
                  <w:sz w:val="20"/>
                  <w:szCs w:val="20"/>
                </w:rPr>
                <w:delText>S4</w:delText>
              </w:r>
            </w:del>
            <w:ins w:id="6" w:author="Claude" w:date="2026-10-08T22:18:00Z">
              <w:r>
                <w:rPr>
                  <w:sz w:val="20"/>
                  <w:szCs w:val="20"/>
                </w:rPr>
                <w:t>S3</w:t>
              </w:r>
            </w:ins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Tables S5–S6; Figure </w:t>
            </w:r>
            <w:del w:id="7" w:author="Claude" w:date="2026-10-08T22:17:00Z">
              <w:r>
                <w:rPr>
                  <w:sz w:val="20"/>
                  <w:szCs w:val="20"/>
                </w:rPr>
                <w:delText>S5</w:delText>
              </w:r>
            </w:del>
            <w:ins w:id="8" w:author="Claude" w:date="2026-10-08T22:17:00Z">
              <w:r>
                <w:rPr>
                  <w:sz w:val="20"/>
                  <w:szCs w:val="20"/>
                </w:rPr>
                <w:t>S4</w:t>
              </w:r>
            </w:ins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 w14:paraId="4B70AB4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S5; Tables S7–S10; Figure </w:t>
            </w:r>
            <w:del w:id="9" w:author="Claude" w:date="2026-10-08T22:17:00Z">
              <w:r>
                <w:rPr>
                  <w:sz w:val="20"/>
                  <w:szCs w:val="20"/>
                </w:rPr>
                <w:delText>S6</w:delText>
              </w:r>
            </w:del>
            <w:ins w:id="10" w:author="Claude" w:date="2026-10-08T22:17:00Z">
              <w:r>
                <w:rPr>
                  <w:sz w:val="20"/>
                  <w:szCs w:val="20"/>
                </w:rPr>
                <w:t>S5</w:t>
              </w:r>
            </w:ins>
          </w:p>
        </w:tc>
      </w:tr>
      <w:tr w:rsidR="000D7169" w14:paraId="175064EC" w14:textId="77777777">
        <w:trPr>
          <w:cantSplit/>
          <w:jc w:val="center"/>
          <w:del w:id="11" w:author="Claude" w:date="2026-10-08T22:07:00Z"/>
        </w:trPr>
        <w:tc>
          <w:tcPr>
            <w:tcW w:w="1000" w:type="dxa"/>
            <w:vAlign w:val="center"/>
          </w:tcPr>
          <w:p w14:paraId="1BA3F62B" w14:textId="77777777" w:rsidR="000D7169" w:rsidRDefault="007163D0">
            <w:pPr>
              <w:keepNext/>
              <w:spacing w:before="20" w:after="20" w:line="240" w:lineRule="auto"/>
              <w:ind w:firstLine="0"/>
              <w:jc w:val="left"/>
              <w:rPr>
                <w:del w:id="12" w:author="Claude" w:date="2026-10-08T22:07:00Z"/>
              </w:rPr>
            </w:pPr>
            <w:del w:id="13" w:author="Claude" w:date="2026-10-08T22:07:00Z">
              <w:r>
                <w:rPr>
                  <w:sz w:val="20"/>
                  <w:szCs w:val="20"/>
                </w:rPr>
                <w:delText>S6</w:delText>
              </w:r>
            </w:del>
          </w:p>
        </w:tc>
        <w:tc>
          <w:tcPr>
            <w:tcW w:w="4200" w:type="dxa"/>
            <w:vAlign w:val="center"/>
          </w:tcPr>
          <w:p w14:paraId="7C27A111" w14:textId="77777777" w:rsidR="000D7169" w:rsidRDefault="007163D0">
            <w:pPr>
              <w:keepNext/>
              <w:spacing w:before="20" w:after="20" w:line="240" w:lineRule="auto"/>
              <w:ind w:firstLine="0"/>
              <w:jc w:val="left"/>
              <w:rPr>
                <w:del w:id="14" w:author="Claude" w:date="2026-10-08T22:07:00Z"/>
              </w:rPr>
            </w:pPr>
            <w:del w:id="15" w:author="Claude" w:date="2026-10-08T22:07:00Z">
              <w:r>
                <w:rPr>
                  <w:sz w:val="20"/>
                  <w:szCs w:val="20"/>
                </w:rPr>
                <w:delText>Uncertainty analysis</w:delText>
              </w:r>
            </w:del>
          </w:p>
        </w:tc>
        <w:tc>
          <w:tcPr>
            <w:tcW w:w="3826" w:type="dxa"/>
            <w:vAlign w:val="center"/>
          </w:tcPr>
          <w:p w14:paraId="175AF407" w14:textId="77777777" w:rsidR="000D7169" w:rsidRDefault="007163D0">
            <w:pPr>
              <w:keepNext/>
              <w:spacing w:before="20" w:after="20" w:line="240" w:lineRule="auto"/>
              <w:ind w:firstLine="0"/>
              <w:jc w:val="left"/>
              <w:rPr>
                <w:del w:id="16" w:author="Claude" w:date="2026-10-08T22:07:00Z"/>
              </w:rPr>
            </w:pPr>
            <w:del w:id="17" w:author="Claude" w:date="2026-10-08T22:07:00Z">
              <w:r>
                <w:rPr>
                  <w:sz w:val="20"/>
                  <w:szCs w:val="20"/>
                </w:rPr>
                <w:delText>Figure S7</w:delText>
              </w:r>
            </w:del>
          </w:p>
        </w:tc>
      </w:tr>
      <w:tr w:rsidR="000D7169" w14:paraId="4BDE2936" w14:textId="77777777">
        <w:trPr>
          <w:cantSplit/>
          <w:jc w:val="center"/>
          <w:del w:id="18" w:author="Claude" w:date="2026-10-08T22:07:00Z"/>
        </w:trPr>
        <w:tc>
          <w:tcPr>
            <w:tcW w:w="1000" w:type="dxa"/>
            <w:vAlign w:val="center"/>
          </w:tcPr>
          <w:p w14:paraId="023C63F1" w14:textId="77777777" w:rsidR="000D7169" w:rsidRDefault="007163D0">
            <w:pPr>
              <w:spacing w:before="20" w:after="20" w:line="240" w:lineRule="auto"/>
              <w:ind w:firstLine="0"/>
              <w:jc w:val="left"/>
              <w:rPr>
                <w:del w:id="19" w:author="Claude" w:date="2026-10-08T22:07:00Z"/>
              </w:rPr>
            </w:pPr>
            <w:del w:id="20" w:author="Claude" w:date="2026-10-08T22:07:00Z">
              <w:r>
                <w:rPr>
                  <w:sz w:val="20"/>
                  <w:szCs w:val="20"/>
                </w:rPr>
                <w:delText>S7</w:delText>
              </w:r>
            </w:del>
          </w:p>
        </w:tc>
        <w:tc>
          <w:tcPr>
            <w:tcW w:w="4200" w:type="dxa"/>
            <w:vAlign w:val="center"/>
          </w:tcPr>
          <w:p w14:paraId="61D2BC7C" w14:textId="77777777" w:rsidR="000D7169" w:rsidRDefault="007163D0">
            <w:pPr>
              <w:spacing w:before="20" w:after="20" w:line="240" w:lineRule="auto"/>
              <w:ind w:firstLine="0"/>
              <w:jc w:val="left"/>
              <w:rPr>
                <w:del w:id="21" w:author="Claude" w:date="2026-10-08T22:07:00Z"/>
              </w:rPr>
            </w:pPr>
            <w:del w:id="22" w:author="Claude" w:date="2026-10-08T22:07:00Z">
              <w:r>
                <w:rPr>
                  <w:sz w:val="20"/>
                  <w:szCs w:val="20"/>
                </w:rPr>
                <w:delText>Case-study results</w:delText>
              </w:r>
            </w:del>
          </w:p>
        </w:tc>
        <w:tc>
          <w:tcPr>
            <w:tcW w:w="3826" w:type="dxa"/>
            <w:vAlign w:val="center"/>
          </w:tcPr>
          <w:p w14:paraId="6C95DA22" w14:textId="77777777" w:rsidR="000D7169" w:rsidRDefault="007163D0">
            <w:pPr>
              <w:spacing w:before="20" w:after="20" w:line="240" w:lineRule="auto"/>
              <w:ind w:firstLine="0"/>
              <w:jc w:val="left"/>
              <w:rPr>
                <w:del w:id="23" w:author="Claude" w:date="2026-10-08T22:07:00Z"/>
              </w:rPr>
            </w:pPr>
            <w:del w:id="24" w:author="Claude" w:date="2026-10-08T22:07:00Z">
              <w:r>
                <w:rPr>
                  <w:sz w:val="20"/>
                  <w:szCs w:val="20"/>
                </w:rPr>
                <w:delText>Table S11; Figures S8–S10</w:delText>
              </w:r>
            </w:del>
          </w:p>
        </w:tc>
      </w:tr>
      <w:tr w:rsidR="005639C1" w14:paraId="6A908FD4" w14:textId="77777777">
        <w:trPr>
          <w:cantSplit/>
          <w:jc w:val="center"/>
          <w:ins w:id="25" w:author="Claude" w:date="2026-10-08T22:07:00Z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>
                <w:ins w:id="26" w:author="Claude" w:date="2026-10-08T22:07:00Z"/>
              </w:rPr>
            </w:pPr>
            <w:ins w:id="27" w:author="Claude" w:date="2026-10-08T22:07:00Z">
              <w:r>
                <w:rPr>
                  <w:sz w:val="20"/>
                  <w:szCs w:val="20"/>
                </w:rPr>
                <w:t>S6</w:t>
              </w:r>
            </w:ins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>
                <w:ins w:id="28" w:author="Claude" w:date="2026-10-08T22:07:00Z"/>
              </w:rPr>
            </w:pPr>
            <w:ins w:id="29" w:author="Claude" w:date="2026-10-08T22:07:00Z">
              <w:r>
                <w:rPr>
                  <w:sz w:val="20"/>
                  <w:szCs w:val="20"/>
                </w:rPr>
                <w:t>Uncertainty analysis</w:t>
              </w:r>
            </w:ins>
          </w:p>
        </w:tc>
        <w:tc>
          <w:tcPr>
            <w:tcW w:w="3826" w:type="dxa"/>
            <w:vAlign w:val="center"/>
          </w:tcPr>
          <w:p w14:paraId="37B309E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>
                <w:ins w:id="30" w:author="Claude" w:date="2026-10-08T22:07:00Z"/>
              </w:rPr>
            </w:pPr>
            <w:ins w:id="31" w:author="Claude" w:date="2026-10-08T22:07:00Z">
              <w:r>
                <w:rPr>
                  <w:sz w:val="20"/>
                  <w:szCs w:val="20"/>
                </w:rPr>
                <w:t>Table S11; Figure S6</w:t>
              </w:r>
            </w:ins>
          </w:p>
        </w:tc>
      </w:tr>
      <w:tr w:rsidR="005639C1" w14:paraId="0DC15D8B" w14:textId="77777777">
        <w:trPr>
          <w:cantSplit/>
          <w:jc w:val="center"/>
          <w:ins w:id="32" w:author="Claude" w:date="2026-10-08T22:07:00Z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33" w:author="Claude" w:date="2026-10-08T22:07:00Z"/>
              </w:rPr>
            </w:pPr>
            <w:ins w:id="34" w:author="Claude" w:date="2026-10-08T22:07:00Z">
              <w:r>
                <w:rPr>
                  <w:sz w:val="20"/>
                  <w:szCs w:val="20"/>
                </w:rPr>
                <w:t>S7</w:t>
              </w:r>
            </w:ins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35" w:author="Claude" w:date="2026-10-08T22:07:00Z"/>
              </w:rPr>
            </w:pPr>
            <w:ins w:id="36" w:author="Claude" w:date="2026-10-08T22:07:00Z">
              <w:r>
                <w:rPr>
                  <w:sz w:val="20"/>
                  <w:szCs w:val="20"/>
                </w:rPr>
                <w:t>Case-study results</w:t>
              </w:r>
            </w:ins>
          </w:p>
        </w:tc>
        <w:tc>
          <w:tcPr>
            <w:tcW w:w="3826" w:type="dxa"/>
            <w:vAlign w:val="center"/>
          </w:tcPr>
          <w:p w14:paraId="2D180695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37" w:author="Claude" w:date="2026-10-08T22:07:00Z"/>
              </w:rPr>
            </w:pPr>
            <w:ins w:id="38" w:author="Claude" w:date="2026-10-08T22:07:00Z">
              <w:r>
                <w:rPr>
                  <w:sz w:val="20"/>
                  <w:szCs w:val="20"/>
                </w:rPr>
                <w:t>Table S12; Figures S7–S9</w:t>
              </w:r>
            </w:ins>
          </w:p>
        </w:tc>
      </w:tr>
    </w:tbl>
    <w:p w14:paraId="03DBB6A3" w14:textId="77777777" w:rsidR="003D0986" w:rsidRDefault="001C0510" w:rsidP="00BE6B79">
      <w:pPr>
        <w:pStyle w:val="Heading1"/>
        <w:pageBreakBefore/>
        <w:spacing w:before="360"/>
      </w:pPr>
      <w:r>
        <w:lastRenderedPageBreak/>
        <w:t>S1. Model equations and velocity-selection rule</w:t>
      </w:r>
    </w:p>
    <w:p w14:paraId="1EFA46C9" w14:textId="27869662" w:rsidR="005639C1" w:rsidRDefault="007163D0">
      <w:pPr>
        <w:pStyle w:val="BodyText"/>
        <w:spacing w:after="120"/>
        <w:ind w:firstLine="0"/>
      </w:pPr>
      <w:r>
        <w:t>This section defines the quantities used to evaluate the simulations (Equations S1–S3) and documents the choice of velocity-selection rule (Rules A–D; Table S1 and Figure S1).</w:t>
      </w:r>
    </w:p>
    <w:p w14:paraId="027A5002" w14:textId="77777777" w:rsidR="001C0510" w:rsidRPr="00A53676" w:rsidRDefault="00F2726F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F2726F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 xml:space="preserve">is the hydroxide ion concentration in the </w:t>
      </w:r>
      <w:proofErr w:type="gramStart"/>
      <w:r w:rsidRPr="00A53676">
        <w:t>electrolyte.</w:t>
      </w:r>
      <w:proofErr w:type="gramEnd"/>
    </w:p>
    <w:p w14:paraId="6CF6AD0F" w14:textId="77777777" w:rsidR="00D664E5" w:rsidRPr="002634AA" w:rsidRDefault="00F2726F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6E7112DE" w14:textId="77777777" w:rsidR="007E2F54" w:rsidRP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 w:rsidRPr="007E2F54">
        <w:rPr>
          <w:rFonts w:cs="Times New Roman"/>
        </w:rPr>
        <w:t>Four velocity-selection formulations were evaluated against literature Zn degradation data. The candidate formulations were: </w:t>
      </w:r>
    </w:p>
    <w:p w14:paraId="02EDC231" w14:textId="77777777" w:rsidR="007E2F54" w:rsidRPr="007125DF" w:rsidRDefault="007E2F54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763F88DF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7E72C042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3468E74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14D3AFF7" w14:textId="4040AA88" w:rsidR="007E2F54" w:rsidRDefault="00F67414" w:rsidP="007E2F54">
      <w:pPr>
        <w:pStyle w:val="BodyText"/>
        <w:spacing w:after="120"/>
        <w:ind w:firstLine="0"/>
        <w:rPr>
          <w:rFonts w:cs="Times New Roman"/>
        </w:rPr>
      </w:pPr>
      <w:r w:rsidRPr="00F67414">
        <w:t xml:space="preserve">Rule A (hard minimum) was selected on physical and numerical grounds, with agreement to literature data used only as a consistency check. RMSE was not the selection criterion because it depends on calibration and could be reduced for any rule through recalibration. Rule A reflects the physical assumption that the slowest rate-limiting process controls degradation, which is consistent with the simulations showing oxygen-diffusion control over &gt;99% of the interface at 672 h. Rules B and C introduce additional blending terms without improving the </w:t>
      </w:r>
      <w:r w:rsidRPr="00F67414">
        <w:lastRenderedPageBreak/>
        <w:t>governing physics, while Rule D removes the oxygen-diffusion constraint and substantially overpredicts mass loss. Finally, the hard minimum caused no significant numerical issues, with only two regime transitions occurring during the initial transient.</w:t>
      </w:r>
    </w:p>
    <w:p w14:paraId="258B45AD" w14:textId="5FA0275C" w:rsidR="007E2F54" w:rsidRDefault="00F67414" w:rsidP="007E2F54">
      <w:pPr>
        <w:pStyle w:val="BodyText"/>
        <w:spacing w:after="120"/>
        <w:ind w:firstLine="0"/>
        <w:rPr>
          <w:rFonts w:cs="Times New Roman"/>
        </w:rPr>
      </w:pPr>
      <w:r w:rsidRPr="00F67414">
        <w:t>A global O₂ mass balance shows that the O₂ consumed at the interface is only about 1/32 of the stoichiometric requirement for the Zn lost at 24 h and about 1/24 at 168 h, indicating that Zn recession is not stoichiometrically coupled to O₂ consumption in the present formulation. Rule A was selected on physical and numerical grounds, while agreement with literature data was used only as a consistency check. RMSE was not used as the selection criterion and was not improved through recalibration. Rule A reflects the assumption that the slowest rate-limiting process controls degradation, consistent with the simulations showing oxygen-diffusion control over &gt;99% of the interface at 672 h. Rules B and C introduce additional blending terms without adding physical justification, whereas Rule D removes the oxygen-diffusion constraint and substantially overpredicts mass loss (0.58% at 168 h versus 0.20% in the literature data). Finally, the hard-minimum formulation caused no significant numerical issues, with only two regime transitions occurring during the initial transient.</w:t>
      </w:r>
    </w:p>
    <w:p w14:paraId="41E906DA" w14:textId="77777777" w:rsidR="0021293D" w:rsidRDefault="0021293D" w:rsidP="0021293D">
      <w:pPr>
        <w:pStyle w:val="Captions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0227BE3" wp14:editId="25F7AA01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8B3A3" w14:textId="79772A87" w:rsidR="0021293D" w:rsidRPr="0021293D" w:rsidRDefault="0021293D" w:rsidP="0021293D">
      <w:pPr>
        <w:pStyle w:val="Captions"/>
        <w:spacing w:before="80" w:after="360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="00F121A4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Interface recession velocity components for (a) a Zn disc and (b) a Zn stent during 672 h of immersion. The zinc transport-limited (</w:t>
      </w:r>
      <w:proofErr w:type="spellStart"/>
      <w:r>
        <w:rPr>
          <w:sz w:val="20"/>
          <w:szCs w:val="20"/>
        </w:rPr>
        <w:t>v</w:t>
      </w:r>
      <w:r w:rsidRPr="0021293D">
        <w:rPr>
          <w:sz w:val="20"/>
          <w:szCs w:val="20"/>
          <w:vertAlign w:val="subscript"/>
        </w:rPr>
        <w:t>Zn</w:t>
      </w:r>
      <w:proofErr w:type="spellEnd"/>
      <w:r w:rsidRPr="0021293D">
        <w:rPr>
          <w:sz w:val="20"/>
          <w:szCs w:val="20"/>
        </w:rPr>
        <w:t>​), oxygen reduction-limited (</w:t>
      </w:r>
      <w:proofErr w:type="spellStart"/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>ORR</w:t>
      </w:r>
      <w:proofErr w:type="spellEnd"/>
      <w:r w:rsidRPr="0021293D">
        <w:rPr>
          <w:sz w:val="20"/>
          <w:szCs w:val="20"/>
        </w:rPr>
        <w:t>​), and oxygen diffusion-limited (</w:t>
      </w:r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 xml:space="preserve">O2, </w:t>
      </w:r>
      <w:r w:rsidRPr="0021293D">
        <w:rPr>
          <w:sz w:val="20"/>
          <w:szCs w:val="20"/>
          <w:vertAlign w:val="subscript"/>
        </w:rPr>
        <w:t>diff</w:t>
      </w:r>
      <w:r w:rsidRPr="0021293D">
        <w:rPr>
          <w:sz w:val="20"/>
          <w:szCs w:val="20"/>
        </w:rPr>
        <w:t>​) velocities are shown separately.</w:t>
      </w:r>
    </w:p>
    <w:p w14:paraId="7FD030E7" w14:textId="637A52A6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A34D79">
        <w:rPr>
          <w:sz w:val="20"/>
          <w:szCs w:val="20"/>
        </w:rPr>
        <w:t xml:space="preserve">Comparison of the candidate velocity-selection formulations. Rule A (hard minimum) </w:t>
      </w:r>
      <w:del w:id="9006" w:author="Claude" w:date="2026-10-08T22:54:30Z">
        <w:r>
          <w:rPr>
            <w:sz w:val="20"/>
            <w:szCs w:val="20"/>
          </w:rPr>
          <w:delText xml:space="preserve">gave</w:delText>
        </w:r>
      </w:del>
      <w:ins w:id="9005" w:author="Claude" w:date="2026-10-08T22:54:30Z">
        <w:r>
          <w:rPr>
            <w:sz w:val="20"/>
            <w:szCs w:val="20"/>
          </w:rPr>
          <w:t xml:space="preserve">had a low RMSE, which was not</w:t>
        </w:r>
      </w:ins>
      <w:r>
        <w:rPr>
          <w:sz w:val="20"/>
          <w:szCs w:val="20"/>
        </w:rPr>
        <w:t xml:space="preserve"> the </w:t>
      </w:r>
      <w:del w:id="9004" w:author="Claude" w:date="2026-10-08T22:54:30Z">
        <w:r>
          <w:rPr>
            <w:sz w:val="20"/>
            <w:szCs w:val="20"/>
          </w:rPr>
          <w:delText xml:space="preserve">lowest</w:delText>
        </w:r>
      </w:del>
      <w:ins w:id="9003" w:author="Claude" w:date="2026-10-08T22:54:30Z">
        <w:r>
          <w:rPr>
            <w:sz w:val="20"/>
            <w:szCs w:val="20"/>
          </w:rPr>
          <w:t xml:space="preserve">main</w:t>
        </w:r>
      </w:ins>
      <w:r>
        <w:rPr>
          <w:sz w:val="20"/>
          <w:szCs w:val="20"/>
        </w:rPr>
        <w:t xml:space="preserve"> </w:t>
      </w:r>
      <w:del w:id="9002" w:author="Claude" w:date="2026-10-08T22:54:30Z">
        <w:r>
          <w:rPr>
            <w:sz w:val="20"/>
            <w:szCs w:val="20"/>
          </w:rPr>
          <w:delText xml:space="preserve">RMSE</w:delText>
        </w:r>
      </w:del>
      <w:ins w:id="9001" w:author="Claude" w:date="2026-10-08T22:54:30Z">
        <w:r>
          <w:rPr>
            <w:sz w:val="20"/>
            <w:szCs w:val="20"/>
          </w:rPr>
          <w:t xml:space="preserve">selection criterion,</w:t>
        </w:r>
      </w:ins>
      <w:r>
        <w:rPr>
          <w:sz w:val="20"/>
          <w:szCs w:val="20"/>
        </w:rPr>
        <w:t xml:space="preserve"> and was adopted on physical grounds (</w:t>
      </w:r>
      <w:r w:rsidR="00F121A4" w:rsidRPr="00F121A4">
        <w:rPr>
          <w:sz w:val="20"/>
          <w:szCs w:val="20"/>
        </w:rPr>
        <w:t>RMSE values may differ from those of the calibrated model, as these validation cases were evaluated prior to model calibration</w:t>
      </w:r>
      <w:r>
        <w:rPr>
          <w:sz w:val="20"/>
          <w:szCs w:val="20"/>
        </w:rPr>
        <w:t>)</w:t>
      </w:r>
      <w:r w:rsidRPr="00A34D79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D6DB16D" w14:textId="77777777" w:rsidTr="00ED14A2">
        <w:trPr>
          <w:cantSplit/>
          <w:tblHeader/>
          <w:jc w:val="center"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0F1131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6B75447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0CD0B2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2BB8564E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343C6F53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0D879CF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269E8D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2595BD0D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9D3BC8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AF5AC11" w14:textId="77777777" w:rsidR="00F36A97" w:rsidRPr="00F36A97" w:rsidRDefault="00835703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DD6D42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6C1AA8E2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C82703D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3318D02B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59F6CCC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103EF97A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5CDE7F4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57484D3D" w14:textId="77777777" w:rsidR="00F36A97" w:rsidRPr="00F36A97" w:rsidRDefault="00670A5B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C7EF96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5AF588B2" w14:textId="77777777" w:rsidR="00554D08" w:rsidRDefault="00554D08" w:rsidP="00554D08">
      <w:pPr>
        <w:pStyle w:val="Heading1"/>
        <w:spacing w:before="360"/>
      </w:pPr>
      <w:r>
        <w:lastRenderedPageBreak/>
        <w:t>S2. Geometry and mesh generation</w:t>
      </w:r>
    </w:p>
    <w:p w14:paraId="02C2AC2C" w14:textId="6CB410C2" w:rsidR="005639C1" w:rsidRDefault="00554D08">
      <w:pPr>
        <w:pStyle w:val="BodyText"/>
        <w:spacing w:after="120"/>
        <w:ind w:firstLine="0"/>
      </w:pPr>
      <w:r w:rsidRPr="00430123">
        <w:t xml:space="preserve">STL implant geometries were converted into tetrahedral finite-element meshes using a </w:t>
      </w:r>
      <w:proofErr w:type="spellStart"/>
      <w:r w:rsidRPr="00430123">
        <w:t>Gmsh</w:t>
      </w:r>
      <w:proofErr w:type="spellEnd"/>
      <w:r w:rsidRPr="00430123">
        <w:t xml:space="preserve"> (v4.13.1)-based workflow [1], with </w:t>
      </w:r>
      <w:proofErr w:type="spellStart"/>
      <w:r w:rsidRPr="00430123">
        <w:t>TetGen</w:t>
      </w:r>
      <w:proofErr w:type="spellEnd"/>
      <w:r w:rsidRPr="00430123">
        <w:t xml:space="preserve"> [2] for tetrahedralization and MMG [3] for adaptive remeshing. Adaptive refinement was applied at the Zn-electrolyte interface, and the resulting Zn-electrolyte meshes were exported in </w:t>
      </w:r>
      <w:proofErr w:type="spellStart"/>
      <w:r w:rsidRPr="00430123">
        <w:t>FreeFEM</w:t>
      </w:r>
      <w:proofErr w:type="spellEnd"/>
      <w:r w:rsidRPr="00430123">
        <w:t>/</w:t>
      </w:r>
      <w:proofErr w:type="spellStart"/>
      <w:r w:rsidRPr="00430123">
        <w:t>Medit</w:t>
      </w:r>
      <w:proofErr w:type="spellEnd"/>
      <w:r w:rsidRPr="00430123">
        <w:t xml:space="preserve"> (.mesh) format for all simulations in </w:t>
      </w:r>
      <w:proofErr w:type="spellStart"/>
      <w:r w:rsidRPr="00430123">
        <w:t>FreeFEM</w:t>
      </w:r>
      <w:proofErr w:type="spellEnd"/>
      <w:r w:rsidRPr="00430123">
        <w:t xml:space="preserve"> (v4.14) [4].</w:t>
      </w:r>
      <w:r>
        <w:t xml:space="preserve"> </w:t>
      </w:r>
      <w:r w:rsidR="007163D0">
        <w:t xml:space="preserve">Table S2 and Figure </w:t>
      </w:r>
      <w:r w:rsidR="007163D0">
        <w:t xml:space="preserve">S2 </w:t>
      </w:r>
      <w:r w:rsidR="007163D0">
        <w:t>report the mesh convergence study, and Table S3 compares an adaptive mesh with a uniform mesh.</w:t>
      </w:r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mesh:</w:t>
      </w:r>
    </w:p>
    <w:p w14:paraId="0503D7F6" w14:textId="77777777" w:rsidR="00554D08" w:rsidRPr="00377A22" w:rsidRDefault="00F2726F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t xml:space="preserve">where </w:t>
      </w:r>
      <w:proofErr w:type="spellStart"/>
      <w:r>
        <w:t>MassLoss_Li</w:t>
      </w:r>
      <w:proofErr w:type="spellEnd"/>
      <w:r>
        <w:t xml:space="preserve"> is the predicted mass loss for mesh level Li and </w:t>
      </w:r>
      <w:proofErr w:type="spellStart"/>
      <w:r>
        <w:t>MassLoss_Reference</w:t>
      </w:r>
      <w:proofErr w:type="spellEnd"/>
      <w:r>
        <w:t xml:space="preserve"> is the predicted mass loss for the reference mesh (21.25 million elements).</w:t>
      </w:r>
    </w:p>
    <w:p w14:paraId="05BA7C40" w14:textId="0CDC6BEF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S2. Mesh convergence study showing the effect of mesh resolution on predicted 7-day mass loss. Relative errors are calculated with respect to the </w:t>
      </w:r>
      <w:r>
        <w:rPr>
          <w:b/>
          <w:bCs/>
          <w:sz w:val="20"/>
          <w:szCs w:val="20"/>
        </w:rPr>
        <w:t>reference</w:t>
      </w:r>
      <w:r w:rsidRPr="007E2F54">
        <w:rPr>
          <w:b/>
          <w:bCs/>
          <w:sz w:val="20"/>
          <w:szCs w:val="20"/>
        </w:rPr>
        <w:t xml:space="preserve"> mesh</w:t>
      </w:r>
      <w:ins w:id="9007" w:author="Claude" w:date="2026-10-08T22:54:30Z">
        <w:r w:rsidRPr="007E2F54">
          <w:rPr>
            <w:b/>
            <w:bCs/>
            <w:sz w:val="20"/>
            <w:szCs w:val="20"/>
          </w:rPr>
          <w:t xml:space="preserve"> (Mass loss values may differ from those of the calibrated model, as these cases were evaluated prior to model calibration)</w:t>
        </w:r>
      </w:ins>
      <w:r w:rsidRPr="007E2F54">
        <w:rPr>
          <w:b/>
          <w:bCs/>
          <w:sz w:val="20"/>
          <w:szCs w:val="20"/>
        </w:rPr>
        <w:t xml:space="preserve"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63F4016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0.3009</w:t>
            </w:r>
          </w:p>
        </w:tc>
        <w:tc>
          <w:tcPr>
            <w:tcW w:w="2554" w:type="dxa"/>
            <w:noWrap/>
            <w:vAlign w:val="center"/>
          </w:tcPr>
          <w:p w14:paraId="3AE6E184" w14:textId="6899461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43B7242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2554" w:type="dxa"/>
            <w:noWrap/>
            <w:vAlign w:val="center"/>
          </w:tcPr>
          <w:p w14:paraId="55BDFE58" w14:textId="5B226D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4ADE0D7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0.1682</w:t>
            </w:r>
          </w:p>
        </w:tc>
        <w:tc>
          <w:tcPr>
            <w:tcW w:w="2554" w:type="dxa"/>
            <w:noWrap/>
            <w:vAlign w:val="center"/>
          </w:tcPr>
          <w:p w14:paraId="493D9FBC" w14:textId="52D705E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7FAA7F2E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0.1637</w:t>
            </w:r>
          </w:p>
        </w:tc>
        <w:tc>
          <w:tcPr>
            <w:tcW w:w="2554" w:type="dxa"/>
            <w:noWrap/>
            <w:vAlign w:val="center"/>
          </w:tcPr>
          <w:p w14:paraId="6CB7FB3A" w14:textId="1E0955C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5FEF700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0.1616</w:t>
            </w:r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61EED123" w:rsidR="00554D08" w:rsidRPr="000212DA" w:rsidRDefault="00D860BF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D860BF">
              <w:rPr>
                <w:rFonts w:cs="Times New Roman"/>
                <w:sz w:val="20"/>
                <w:szCs w:val="20"/>
                <w:lang w:eastAsia="en-US"/>
              </w:rPr>
              <w:t>0.161</w:t>
            </w:r>
            <w:r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554" w:type="dxa"/>
            <w:noWrap/>
            <w:vAlign w:val="center"/>
          </w:tcPr>
          <w:p w14:paraId="522DF78B" w14:textId="205D7BC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="00D860BF">
              <w:rPr>
                <w:rFonts w:cs="Times New Roman"/>
                <w:sz w:val="20"/>
                <w:szCs w:val="20"/>
                <w:lang w:eastAsia="en-US"/>
              </w:rPr>
              <w:t>19</w:t>
            </w:r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2171" w:type="dxa"/>
            <w:noWrap/>
            <w:vAlign w:val="center"/>
          </w:tcPr>
          <w:p w14:paraId="66B76AE3" w14:textId="7143F82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2554" w:type="dxa"/>
            <w:noWrap/>
            <w:vAlign w:val="center"/>
          </w:tcPr>
          <w:p w14:paraId="258C6E05" w14:textId="22E5CC1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S3. Comparison between an adaptive mesh and a uniform mesh </w:t>
      </w:r>
      <w:r w:rsidR="00E730F4">
        <w:rPr>
          <w:b/>
          <w:bCs/>
          <w:sz w:val="20"/>
          <w:szCs w:val="20"/>
        </w:rPr>
        <w:t>(</w:t>
      </w:r>
      <w:r>
        <w:rPr>
          <w:b/>
          <w:bCs/>
          <w:sz w:val="20"/>
          <w:szCs w:val="20"/>
        </w:rPr>
        <w:t>approximately</w:t>
      </w:r>
      <w:r w:rsidRPr="007E2F54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800,000 elements</w:t>
      </w:r>
      <w:r w:rsidRPr="007E2F54">
        <w:rPr>
          <w:b/>
          <w:bCs/>
          <w:sz w:val="20"/>
          <w:szCs w:val="20"/>
        </w:rPr>
        <w:t xml:space="preserve">)</w:t>
      </w:r>
      <w:ins w:id="9008" w:author="Claude" w:date="2026-10-08T22:54:30Z">
        <w:r w:rsidRPr="007E2F54">
          <w:rPr>
            <w:b/>
            <w:bCs/>
            <w:sz w:val="20"/>
            <w:szCs w:val="20"/>
          </w:rPr>
          <w:t xml:space="preserve"> (Mass loss values may differ from those of the calibrated model, as these cases were evaluated prior to model calibration)</w:t>
        </w:r>
      </w:ins>
      <w:r w:rsidRPr="007E2F54">
        <w:rPr>
          <w:b/>
          <w:bCs/>
          <w:sz w:val="20"/>
          <w:szCs w:val="20"/>
        </w:rPr>
        <w:t xml:space="preserve"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48BA370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0.2860</w:t>
            </w:r>
          </w:p>
        </w:tc>
        <w:tc>
          <w:tcPr>
            <w:tcW w:w="1805" w:type="dxa"/>
            <w:noWrap/>
            <w:vAlign w:val="center"/>
          </w:tcPr>
          <w:p w14:paraId="0A550CBF" w14:textId="65B9125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7BB7796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1805" w:type="dxa"/>
            <w:noWrap/>
            <w:vAlign w:val="center"/>
          </w:tcPr>
          <w:p w14:paraId="2DE3A1B1" w14:textId="3FD14F4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16CB8DF8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1805" w:type="dxa"/>
            <w:noWrap/>
            <w:vAlign w:val="center"/>
          </w:tcPr>
          <w:p w14:paraId="4D017354" w14:textId="3D6235D1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77777777" w:rsidR="00554D08" w:rsidRDefault="00B745C1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941A97A" wp14:editId="570F813D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054593CD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S</w:t>
      </w:r>
      <w:r w:rsidR="00EC20EE">
        <w:rPr>
          <w:b/>
          <w:bCs/>
          <w:sz w:val="20"/>
          <w:szCs w:val="20"/>
        </w:rPr>
        <w:t>2</w:t>
      </w:r>
      <w:r w:rsidRPr="007E2F54">
        <w:rPr>
          <w:b/>
          <w:bCs/>
          <w:sz w:val="20"/>
          <w:szCs w:val="20"/>
        </w:rPr>
        <w:t xml:space="preserve">. Mesh convergence analysis showing (a) predicted mass loss and (b) relative error as a function of mesh density. Predictions converged with mesh refinement, with &lt;1% </w:t>
      </w:r>
      <w:r>
        <w:rPr>
          <w:b/>
          <w:bCs/>
          <w:sz w:val="20"/>
          <w:szCs w:val="20"/>
        </w:rPr>
        <w:t>error</w:t>
      </w:r>
      <w:r w:rsidRPr="007E2F54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for</w:t>
      </w:r>
      <w:r w:rsidRPr="007E2F54">
        <w:rPr>
          <w:b/>
          <w:bCs/>
          <w:sz w:val="20"/>
          <w:szCs w:val="20"/>
        </w:rPr>
        <w:t xml:space="preserve"> the </w:t>
      </w:r>
      <w:r>
        <w:rPr>
          <w:b/>
          <w:bCs/>
          <w:sz w:val="20"/>
          <w:szCs w:val="20"/>
        </w:rPr>
        <w:t>final</w:t>
      </w:r>
      <w:r w:rsidRPr="007E2F54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mesh</w:t>
      </w:r>
      <w:r w:rsidRPr="007E2F54">
        <w:rPr>
          <w:b/>
          <w:bCs/>
          <w:sz w:val="20"/>
          <w:szCs w:val="20"/>
        </w:rPr>
        <w:t>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11D3E016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35C7D979" w14:textId="77777777" w:rsidR="00D4195E" w:rsidRDefault="00D4195E" w:rsidP="00554D08">
      <w:pPr>
        <w:pStyle w:val="Heading1"/>
        <w:spacing w:after="0"/>
      </w:pPr>
    </w:p>
    <w:p w14:paraId="101144F8" w14:textId="5FB4CA75" w:rsidR="00554D08" w:rsidRDefault="00554D08" w:rsidP="00554D08">
      <w:pPr>
        <w:pStyle w:val="Heading1"/>
        <w:spacing w:after="0"/>
      </w:pPr>
      <w:r>
        <w:t>S3. Simulation settings and parameters</w:t>
      </w:r>
    </w:p>
    <w:p w14:paraId="018FA761" w14:textId="4D62BFC9" w:rsidR="005639C1" w:rsidRDefault="007163D0">
      <w:pPr>
        <w:pStyle w:val="BodyText"/>
        <w:spacing w:after="120"/>
        <w:ind w:firstLine="0"/>
      </w:pPr>
      <w:r>
        <w:t>Table S4 lists the mesh, numerical integration, software</w:t>
      </w:r>
      <w:r w:rsidR="00EC20EE">
        <w:t>,</w:t>
      </w:r>
      <w:r>
        <w:t xml:space="preserve"> and boundary-condition settings used for the disc calibration, disc validation</w:t>
      </w:r>
      <w:r w:rsidR="00EC20EE">
        <w:t>,</w:t>
      </w:r>
      <w:r>
        <w:t xml:space="preserve"> and stent simulations. The simulations were run in </w:t>
      </w:r>
      <w:proofErr w:type="spellStart"/>
      <w:r>
        <w:t>FreeFEM</w:t>
      </w:r>
      <w:proofErr w:type="spellEnd"/>
      <w:r>
        <w:t xml:space="preserve"> (v4.14) [4] with </w:t>
      </w:r>
      <w:proofErr w:type="spellStart"/>
      <w:r>
        <w:t>PETSc</w:t>
      </w:r>
      <w:proofErr w:type="spellEnd"/>
      <w:r>
        <w:t xml:space="preserve"> [5] and Open MPI [6], and the level-set function was reinitialized with the </w:t>
      </w:r>
      <w:proofErr w:type="gramStart"/>
      <w:r>
        <w:t>fast marching</w:t>
      </w:r>
      <w:proofErr w:type="gramEnd"/>
      <w:r>
        <w:t xml:space="preserve"> method [7]. Geometry processing and post-processing used scikit-image [8], </w:t>
      </w:r>
      <w:proofErr w:type="spellStart"/>
      <w:r>
        <w:t>trimesh</w:t>
      </w:r>
      <w:proofErr w:type="spellEnd"/>
      <w:r>
        <w:t xml:space="preserve"> [9], </w:t>
      </w:r>
      <w:proofErr w:type="spellStart"/>
      <w:r>
        <w:t>meshio</w:t>
      </w:r>
      <w:proofErr w:type="spellEnd"/>
      <w:r>
        <w:t xml:space="preserve"> [10], SciPy [11], Matplotlib [12]</w:t>
      </w:r>
      <w:r w:rsidR="00EC20EE">
        <w:t>,</w:t>
      </w:r>
      <w:r>
        <w:t xml:space="preserve"> and </w:t>
      </w:r>
      <w:proofErr w:type="spellStart"/>
      <w:r>
        <w:t>ParaView</w:t>
      </w:r>
      <w:proofErr w:type="spellEnd"/>
      <w:r>
        <w:t xml:space="preserve">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Outer diameter,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Dout</w:t>
            </w:r>
            <w:proofErr w:type="spellEnd"/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Axial length,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Lz</w:t>
            </w:r>
            <w:proofErr w:type="spellEnd"/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2FE0051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19.46 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402F184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361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19BB1BD8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53.9 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63492624" w14:textId="72FAE84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EC20EE">
              <w:rPr>
                <w:rFonts w:cs="Times New Roman"/>
                <w:color w:val="000000"/>
                <w:sz w:val="20"/>
                <w:szCs w:val="20"/>
                <w:lang w:eastAsia="en-US"/>
              </w:rPr>
              <w:t>05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5" w:type="dxa"/>
            <w:vAlign w:val="center"/>
          </w:tcPr>
          <w:p w14:paraId="084910BE" w14:textId="3A27FB8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0.005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Δt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74794D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2,592</w:t>
            </w:r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77C80608" w14:textId="77777777" w:rsidR="005639C1" w:rsidRDefault="007163D0">
      <w:pPr>
        <w:pStyle w:val="BodyText"/>
        <w:spacing w:after="120"/>
        <w:ind w:firstLine="0"/>
      </w:pPr>
      <w:r>
        <w:t>Table S5 lists the parameters varied in the Morris analysis [14], performed with SALib [15], and Table S6 gives the design settings.</w:t>
      </w:r>
    </w:p>
    <w:p w14:paraId="4F9C5857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F2726F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F2726F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EC20EE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F2726F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E0D95C" w14:textId="2D08846F" w:rsidR="00554D08" w:rsidRPr="00EC20EE" w:rsidRDefault="00EC20EE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ascii="Cambria Math" w:hAnsi="Cambria Math"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6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F2726F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F2726F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F2726F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F2726F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F2726F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77777777" w:rsidR="00554D08" w:rsidRPr="00A26FEC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F2726F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F2726F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F2726F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F2726F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F2726F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F2726F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F2726F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4DB3C510" w14:textId="70F4F986" w:rsidR="005639C1" w:rsidRDefault="007163D0">
      <w:pPr>
        <w:pStyle w:val="BodyText"/>
        <w:spacing w:before="360" w:after="120"/>
        <w:ind w:firstLine="0"/>
      </w:pPr>
      <w:r>
        <w:t>Figure S4 shows how the sensitivity indices evolve during the simulated degradation.</w:t>
      </w:r>
    </w:p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011580D2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77777777" w:rsidR="005D7A85" w:rsidRDefault="005F4719" w:rsidP="00BE6B79">
      <w:pPr>
        <w:pStyle w:val="Heading1"/>
      </w:pPr>
      <w:r>
        <w:t>S5. Bayesian calibration and validation</w:t>
      </w:r>
    </w:p>
    <w:p w14:paraId="64C1FDF0" w14:textId="3A1273C3" w:rsidR="00DA0507" w:rsidRDefault="00DA0507" w:rsidP="00DA0507">
      <w:pPr>
        <w:pStyle w:val="BodyText"/>
        <w:spacing w:after="120"/>
        <w:ind w:firstLine="0"/>
      </w:pPr>
      <w:r w:rsidRPr="00DA0507">
        <w:t>Optimal parameters were identified by minimizing the RMSE between predicted and literature-reported 14-day mass-loss measurements. A Gaussian process (GP) surrogate model [16] was initialized using a 12-point Latin hypercube sampling (LHS) design [18] spanning the admissible parameter space and iteratively refined using the expected improvement (EI) acquisition function [17]. The literature data are from Liu et al. [19].</w:t>
      </w:r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 RMSE was calculated as:</w:t>
      </w:r>
    </w:p>
    <w:p w14:paraId="55C543BA" w14:textId="77777777" w:rsidR="00377A22" w:rsidRPr="00542C5D" w:rsidRDefault="00F2726F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7BEA26F3" w14:textId="3D509071" w:rsidR="005639C1" w:rsidRDefault="007163D0">
      <w:pPr>
        <w:pStyle w:val="BodyText"/>
        <w:spacing w:after="120"/>
        <w:ind w:firstLine="0"/>
      </w:pPr>
      <w:r>
        <w:t xml:space="preserve">where n is the number of literature data points, and </w:t>
      </w:r>
      <w:proofErr w:type="spellStart"/>
      <w:r>
        <w:t>MassLoss_sim</w:t>
      </w:r>
      <w:proofErr w:type="spellEnd"/>
      <w:r>
        <w:t>(</w:t>
      </w:r>
      <w:proofErr w:type="spellStart"/>
      <w:r>
        <w:t>t_i</w:t>
      </w:r>
      <w:proofErr w:type="spellEnd"/>
      <w:r>
        <w:t xml:space="preserve">) and </w:t>
      </w:r>
      <w:proofErr w:type="spellStart"/>
      <w:r>
        <w:t>MassLoss_exp</w:t>
      </w:r>
      <w:proofErr w:type="spellEnd"/>
      <w:r>
        <w:t>(</w:t>
      </w:r>
      <w:proofErr w:type="spellStart"/>
      <w:r>
        <w:t>t_i</w:t>
      </w:r>
      <w:proofErr w:type="spellEnd"/>
      <w:r>
        <w:t xml:space="preserve">) are the simulated and literature mass loss at time </w:t>
      </w:r>
      <w:proofErr w:type="spellStart"/>
      <w:r>
        <w:t>t_i</w:t>
      </w:r>
      <w:proofErr w:type="spellEnd"/>
      <w:r>
        <w:t>, respectively.</w:t>
      </w:r>
      <w:r w:rsidR="00AB5E39">
        <w:t xml:space="preserve"> </w:t>
      </w:r>
      <w:r>
        <w:t>Table S7 lists the literature mass-loss data used for calibration.</w:t>
      </w:r>
    </w:p>
    <w:p w14:paraId="60E5328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>Literature mass-loss data used for Bayesian 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5D50099D" w14:textId="56C21E95" w:rsidR="005639C1" w:rsidRDefault="007163D0">
      <w:pPr>
        <w:pStyle w:val="BodyText"/>
        <w:spacing w:before="360" w:after="120"/>
        <w:ind w:firstLine="0"/>
      </w:pPr>
      <w:r>
        <w:t>Tables S8 and S9 and Figure S5 compare the calibrated model with the literature data.</w:t>
      </w:r>
    </w:p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77777777" w:rsidR="00DF756F" w:rsidRDefault="00D80D58" w:rsidP="00DF756F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D4D8C5A" wp14:editId="330E3F0C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701C2AAB" w:rsidR="005F4719" w:rsidRDefault="00DF756F" w:rsidP="00DF756F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>Bayesian calibration results: (a) simulated and literature mass loss, (b) normalized parameter trajectories, and (c–e) RMSE response surfaces for pairwise combinations of</w:t>
      </w:r>
      <w:r w:rsidR="003E77C2">
        <w:rPr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sz w:val="20"/>
          <w:szCs w:val="20"/>
        </w:rPr>
        <w:t>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F2726F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77777777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</w:t>
      </w:r>
      <w:r w:rsidRPr="00F164F0">
        <w:lastRenderedPageBreak/>
        <w:t>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 w14:paraId="0D46BC43" w14:textId="039DDB95" w:rsidR="005639C1" w:rsidRDefault="007163D0">
      <w:pPr>
        <w:pStyle w:val="BodyText"/>
        <w:spacing w:after="120"/>
        <w:ind w:firstLine="0"/>
      </w:pPr>
      <w:r>
        <w:t>Figure S6 shows the ensemble prediction and the distribution of mass loss at 672 h.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64E2D28B" w:rsidR="00876655" w:rsidRPr="00F164F0" w:rsidRDefault="00876655" w:rsidP="00876655">
      <w:pPr>
        <w:pStyle w:val="Captions"/>
        <w:spacing w:before="80" w:after="360"/>
      </w:pPr>
      <w:r w:rsidRPr="00CA2019">
        <w:rPr>
          <w:b/>
          <w:bCs/>
          <w:sz w:val="20"/>
          <w:szCs w:val="20"/>
        </w:rPr>
        <w:t xml:space="preserve">Figure </w:t>
      </w:r>
      <w:r w:rsidRPr="00CA2019">
        <w:rPr>
          <w:b/>
          <w:bCs/>
          <w:sz w:val="20"/>
          <w:szCs w:val="20"/>
        </w:rPr>
        <w:t>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04BC827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11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Comparison of simulated and measured mass loss in HBSS (validation) with the experimental scatter. Experimental values are mean ± SD (n = 3); |Error|/SD is the absolute error divided by the SD at the same immersion time. The validation RMSE of 0.0159% (R² = 0.9734) corresponds to 8.6% of the mean measured mass loss (0.185%) and 5.1% of the 28-day value.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Experiment (%, mean ± SD)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Simulation (%)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Error (%)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|Error|/SD</w:t>
            </w:r>
          </w:p>
        </w:tc>
      </w:tr>
      <w:tr w:rsidR="003A0691" w:rsidRPr="00540DBD" w14:paraId="269E015A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0.045 ± 0.016</w:t>
            </w:r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0.049</w:t>
            </w:r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+0.004</w:t>
            </w:r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0.28</w:t>
            </w:r>
          </w:p>
        </w:tc>
      </w:tr>
      <w:tr w:rsidR="003A0691" w:rsidRPr="00540DBD" w14:paraId="40348D6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72</w:t>
            </w:r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0.105 ± 0.036</w:t>
            </w:r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0.114</w:t>
            </w:r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+0.008</w:t>
            </w:r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</w:t>
            </w:r>
          </w:p>
        </w:tc>
      </w:tr>
      <w:tr w:rsidR="003A0691" w:rsidRPr="00540DBD" w14:paraId="1F222B0D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0.209 ± 0.061</w:t>
            </w:r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0.188</w:t>
            </w:r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−0.021</w:t>
            </w:r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0.34</w:t>
            </w:r>
          </w:p>
        </w:tc>
      </w:tr>
      <w:tr w:rsidR="003A0691" w:rsidRPr="00540DBD" w14:paraId="53AEA522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0.254 ± 0.061</w:t>
            </w:r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0.240</w:t>
            </w:r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−0.014</w:t>
            </w:r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0.23</w:t>
            </w:r>
          </w:p>
        </w:tc>
      </w:tr>
      <w:tr w:rsidR="003A0691" w:rsidRPr="00540DBD" w14:paraId="30BDDB63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</w:t>
            </w:r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0.311 ± 0.115</w:t>
            </w:r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0.333</w:t>
            </w:r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+0.022</w:t>
            </w:r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0.19</w:t>
            </w:r>
          </w:p>
        </w:tc>
      </w:tr>
    </w:tbl>
    <w:p w14:paraId="7E9636DC" w14:textId="77777777" w:rsidR="0021293D" w:rsidRDefault="0021293D" w:rsidP="0021293D">
      <w:pPr>
        <w:pStyle w:val="Heading1"/>
      </w:pPr>
      <w:r>
        <w:t>S7. Case-study results</w:t>
      </w:r>
    </w:p>
    <w:p w14:paraId="63C38437" w14:textId="04EA1288" w:rsidR="005639C1" w:rsidRDefault="007163D0">
      <w:pPr>
        <w:pStyle w:val="BodyText"/>
        <w:spacing w:after="120"/>
        <w:ind w:firstLine="0"/>
      </w:pPr>
      <w:r>
        <w:t>Figure S7 shows the spatial evolution of oxygen and film saturation in the stent. Table S12 and Figures S8 and S9 describe the controlled test structures and their results.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22D5A195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7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8A4911D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12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5C600A62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8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39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39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6B7B2D63" w:rsidR="00496CE8" w:rsidRPr="00876655" w:rsidRDefault="00552E50" w:rsidP="00876655">
      <w:pPr>
        <w:pStyle w:val="Captions"/>
        <w:spacing w:before="80" w:after="360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011DC90C" w14:textId="77777777" w:rsidR="005639C1" w:rsidRDefault="007163D0">
      <w:pPr>
        <w:pStyle w:val="Heading1"/>
      </w:pPr>
      <w:r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Geuzaine</w:t>
      </w:r>
      <w:proofErr w:type="spellEnd"/>
      <w:r>
        <w:rPr>
          <w:sz w:val="20"/>
        </w:rPr>
        <w:t xml:space="preserve">, J.-F. Remacle, Int.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 xml:space="preserve">H. Si, ACM Trans. Math.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Dapogny</w:t>
      </w:r>
      <w:proofErr w:type="spellEnd"/>
      <w:r>
        <w:rPr>
          <w:sz w:val="20"/>
        </w:rPr>
        <w:t xml:space="preserve">, C. </w:t>
      </w:r>
      <w:proofErr w:type="spellStart"/>
      <w:r>
        <w:rPr>
          <w:sz w:val="20"/>
        </w:rPr>
        <w:t>Dobrzynski</w:t>
      </w:r>
      <w:proofErr w:type="spellEnd"/>
      <w:r>
        <w:rPr>
          <w:sz w:val="20"/>
        </w:rPr>
        <w:t xml:space="preserve">, P. Frey, J.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>. Phys. 2014, 262, 358. 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 xml:space="preserve">F. Hecht,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 xml:space="preserve">S. </w:t>
      </w:r>
      <w:proofErr w:type="spellStart"/>
      <w:r>
        <w:rPr>
          <w:sz w:val="20"/>
        </w:rPr>
        <w:t>Balay</w:t>
      </w:r>
      <w:proofErr w:type="spellEnd"/>
      <w:r>
        <w:rPr>
          <w:sz w:val="20"/>
        </w:rPr>
        <w:t xml:space="preserve">, S. Abhyankar, M. F. Adams, et al., </w:t>
      </w:r>
      <w:proofErr w:type="spellStart"/>
      <w:r>
        <w:rPr>
          <w:sz w:val="20"/>
        </w:rPr>
        <w:t>PETSc</w:t>
      </w:r>
      <w:proofErr w:type="spellEnd"/>
      <w:r>
        <w:rPr>
          <w:sz w:val="20"/>
        </w:rPr>
        <w:t xml:space="preserve">/TAO </w:t>
      </w:r>
      <w:proofErr w:type="spellStart"/>
      <w:r>
        <w:rPr>
          <w:sz w:val="20"/>
        </w:rPr>
        <w:t>Users Manual</w:t>
      </w:r>
      <w:proofErr w:type="spellEnd"/>
      <w:r>
        <w:rPr>
          <w:sz w:val="20"/>
        </w:rPr>
        <w:t>, Argonne National Laboratory, Lemont, IL, USA 2024, ANL-21/39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 xml:space="preserve">E. Gabriel, G. E. </w:t>
      </w:r>
      <w:proofErr w:type="spellStart"/>
      <w:r>
        <w:rPr>
          <w:sz w:val="20"/>
        </w:rPr>
        <w:t>Fagg</w:t>
      </w:r>
      <w:proofErr w:type="spellEnd"/>
      <w:r>
        <w:rPr>
          <w:sz w:val="20"/>
        </w:rPr>
        <w:t xml:space="preserve">, G. </w:t>
      </w:r>
      <w:proofErr w:type="spellStart"/>
      <w:r>
        <w:rPr>
          <w:sz w:val="20"/>
        </w:rPr>
        <w:t>Bosilca</w:t>
      </w:r>
      <w:proofErr w:type="spellEnd"/>
      <w:r>
        <w:rPr>
          <w:sz w:val="20"/>
        </w:rPr>
        <w:t xml:space="preserve">, et al., in Recent Advances in Parallel Virtual Machine and Message Passing Interface (Eds: D. </w:t>
      </w:r>
      <w:proofErr w:type="spellStart"/>
      <w:r>
        <w:rPr>
          <w:sz w:val="20"/>
        </w:rPr>
        <w:t>Kranzlmüller</w:t>
      </w:r>
      <w:proofErr w:type="spellEnd"/>
      <w:r>
        <w:rPr>
          <w:sz w:val="20"/>
        </w:rPr>
        <w:t xml:space="preserve">, P. </w:t>
      </w:r>
      <w:proofErr w:type="spellStart"/>
      <w:r>
        <w:rPr>
          <w:sz w:val="20"/>
        </w:rPr>
        <w:t>Kacsuk</w:t>
      </w:r>
      <w:proofErr w:type="spellEnd"/>
      <w:r>
        <w:rPr>
          <w:sz w:val="20"/>
        </w:rPr>
        <w:t xml:space="preserve">, J. </w:t>
      </w:r>
      <w:proofErr w:type="spellStart"/>
      <w:r>
        <w:rPr>
          <w:sz w:val="20"/>
        </w:rPr>
        <w:t>Dongarra</w:t>
      </w:r>
      <w:proofErr w:type="spellEnd"/>
      <w:r>
        <w:rPr>
          <w:sz w:val="20"/>
        </w:rPr>
        <w:t>), Springer, Berlin, Heidelberg, Germany 2004, pp.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 xml:space="preserve">S. van der Walt, J. L. </w:t>
      </w:r>
      <w:proofErr w:type="spellStart"/>
      <w:r>
        <w:rPr>
          <w:sz w:val="20"/>
        </w:rPr>
        <w:t>Schönberger</w:t>
      </w:r>
      <w:proofErr w:type="spellEnd"/>
      <w:r>
        <w:rPr>
          <w:sz w:val="20"/>
        </w:rPr>
        <w:t xml:space="preserve">, J. Nunez-Iglesias, et al., </w:t>
      </w:r>
      <w:proofErr w:type="spellStart"/>
      <w:r>
        <w:rPr>
          <w:sz w:val="20"/>
        </w:rPr>
        <w:t>PeerJ</w:t>
      </w:r>
      <w:proofErr w:type="spellEnd"/>
      <w:r>
        <w:rPr>
          <w:sz w:val="20"/>
        </w:rPr>
        <w:t xml:space="preserve"> 2014, 2, e453. https://doi.org/10.7717/peerj.453.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 xml:space="preserve">M. Dawson-Haggerty, et al., </w:t>
      </w:r>
      <w:proofErr w:type="spellStart"/>
      <w:r>
        <w:rPr>
          <w:sz w:val="20"/>
        </w:rPr>
        <w:t>trimesh</w:t>
      </w:r>
      <w:proofErr w:type="spellEnd"/>
      <w:r>
        <w:rPr>
          <w:sz w:val="20"/>
        </w:rPr>
        <w:t>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 xml:space="preserve">N. </w:t>
      </w:r>
      <w:proofErr w:type="spellStart"/>
      <w:r>
        <w:rPr>
          <w:sz w:val="20"/>
        </w:rPr>
        <w:t>Schlömer</w:t>
      </w:r>
      <w:proofErr w:type="spellEnd"/>
      <w:r>
        <w:rPr>
          <w:sz w:val="20"/>
        </w:rPr>
        <w:t xml:space="preserve">, et al., </w:t>
      </w:r>
      <w:proofErr w:type="spellStart"/>
      <w:r>
        <w:rPr>
          <w:sz w:val="20"/>
        </w:rPr>
        <w:t>meshio</w:t>
      </w:r>
      <w:proofErr w:type="spellEnd"/>
      <w:r>
        <w:rPr>
          <w:sz w:val="20"/>
        </w:rPr>
        <w:t>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 xml:space="preserve">P. Virtanen, R. </w:t>
      </w:r>
      <w:proofErr w:type="spellStart"/>
      <w:r>
        <w:rPr>
          <w:sz w:val="20"/>
        </w:rPr>
        <w:t>Gommers</w:t>
      </w:r>
      <w:proofErr w:type="spellEnd"/>
      <w:r>
        <w:rPr>
          <w:sz w:val="20"/>
        </w:rPr>
        <w:t>, T. E. Oliphant, et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 xml:space="preserve">J. D. Hunter,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>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lastRenderedPageBreak/>
        <w:t>[13]</w:t>
      </w:r>
      <w:r>
        <w:rPr>
          <w:sz w:val="20"/>
        </w:rPr>
        <w:tab/>
        <w:t xml:space="preserve">J. Ahrens, B. </w:t>
      </w:r>
      <w:proofErr w:type="spellStart"/>
      <w:r>
        <w:rPr>
          <w:sz w:val="20"/>
        </w:rPr>
        <w:t>Geveci</w:t>
      </w:r>
      <w:proofErr w:type="spellEnd"/>
      <w:r>
        <w:rPr>
          <w:sz w:val="20"/>
        </w:rPr>
        <w:t>, C. Law, in The Visualization Handbook (Eds: C. D. Hansen, C. R.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 xml:space="preserve">M. D. Morris,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 xml:space="preserve">J. Herman, W. Usher, J. Open Source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2017, 2, 97. https://doi.org/10.21105/joss.00097.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 xml:space="preserve">D. R. Jones, M. </w:t>
      </w:r>
      <w:proofErr w:type="spellStart"/>
      <w:r>
        <w:rPr>
          <w:sz w:val="20"/>
        </w:rPr>
        <w:t>Schonlau</w:t>
      </w:r>
      <w:proofErr w:type="spellEnd"/>
      <w:r>
        <w:rPr>
          <w:sz w:val="20"/>
        </w:rPr>
        <w:t xml:space="preserve">, W. J. Welch, J. Glob. </w:t>
      </w:r>
      <w:proofErr w:type="spellStart"/>
      <w:r>
        <w:rPr>
          <w:sz w:val="20"/>
        </w:rPr>
        <w:t>Optim</w:t>
      </w:r>
      <w:proofErr w:type="spellEnd"/>
      <w:r>
        <w:rPr>
          <w:sz w:val="20"/>
        </w:rPr>
        <w:t>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 xml:space="preserve">M. D. McKay, R. J. Beckman, W. J. Conover,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 xml:space="preserve">L. Liu, Y. Meng, C. Dong, Y. Yan, A. A. </w:t>
      </w:r>
      <w:proofErr w:type="spellStart"/>
      <w:r>
        <w:rPr>
          <w:sz w:val="20"/>
        </w:rPr>
        <w:t>Volinsky</w:t>
      </w:r>
      <w:proofErr w:type="spellEnd"/>
      <w:r>
        <w:rPr>
          <w:sz w:val="20"/>
        </w:rPr>
        <w:t>, L.-N. Wang, J. Mater. Sci. Technol. 2018, 34, 2271. https://doi.org/10.1016/j.jmst.2018.05.005.</w:t>
      </w:r>
    </w:p>
    <w:sectPr w:rsidR="005639C1"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81EFF3" w14:textId="77777777" w:rsidR="00F2726F" w:rsidRDefault="00F2726F">
      <w:pPr>
        <w:spacing w:line="240" w:lineRule="auto"/>
      </w:pPr>
      <w:r>
        <w:separator/>
      </w:r>
    </w:p>
  </w:endnote>
  <w:endnote w:type="continuationSeparator" w:id="0">
    <w:p w14:paraId="0DC9F92B" w14:textId="77777777" w:rsidR="00F2726F" w:rsidRDefault="00F272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2EECF0" w14:textId="77777777" w:rsidR="00F2726F" w:rsidRDefault="00F2726F">
      <w:pPr>
        <w:spacing w:line="240" w:lineRule="auto"/>
      </w:pPr>
      <w:r>
        <w:separator/>
      </w:r>
    </w:p>
  </w:footnote>
  <w:footnote w:type="continuationSeparator" w:id="0">
    <w:p w14:paraId="572A7173" w14:textId="77777777" w:rsidR="00F2726F" w:rsidRDefault="00F2726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163D0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B5E39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34D88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195E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860BF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730F4"/>
    <w:rsid w:val="00EA180F"/>
    <w:rsid w:val="00EC20EE"/>
    <w:rsid w:val="00ED14A2"/>
    <w:rsid w:val="00F07903"/>
    <w:rsid w:val="00F121A4"/>
    <w:rsid w:val="00F164F0"/>
    <w:rsid w:val="00F1686F"/>
    <w:rsid w:val="00F2726F"/>
    <w:rsid w:val="00F36A97"/>
    <w:rsid w:val="00F45B2F"/>
    <w:rsid w:val="00F50DE0"/>
    <w:rsid w:val="00F67414"/>
    <w:rsid w:val="00F949EB"/>
    <w:rsid w:val="00F95798"/>
    <w:rsid w:val="00FA2E62"/>
    <w:rsid w:val="00FA4B00"/>
    <w:rsid w:val="00FA50F1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67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85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27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5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3151</TotalTime>
  <Pages>15</Pages>
  <Words>3182</Words>
  <Characters>18138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21278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113</cp:revision>
  <cp:lastPrinted>2026-09-27T22:37:00Z</cp:lastPrinted>
  <dcterms:created xsi:type="dcterms:W3CDTF">2026-09-27T22:41:00Z</dcterms:created>
  <dcterms:modified xsi:type="dcterms:W3CDTF">2026-10-08T22:39:00Z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