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0.8-million-element mesh (about 2 h per run), mapped to the fine mesh with 0.004% error. An axisymmetric model would be cheaper for calibration, but the 3D formulation was kept so that calibration and the stent prediction use the same model. [Delete this note if no axisymmetric check is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 (3.4 µm) is reported alongside it. The stent crown (Fig. 7d) gives 8.55 and 4.76 µm (1.8×, a 3.8 µm difference); the isolated 150° arc (radius 0.63 mm) confines its inner side more strongly. [Confirm the depths are taken at the arc apex and add the absolute differences to the Results.]</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