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40"/>
      </w:pPr>
      <w:r>
        <w:rPr>
          <w:rFonts w:ascii="Arial" w:cs="Arial" w:eastAsia="Arial" w:hAnsi="Arial"/>
          <w:b/>
          <w:bCs/>
          <w:color w:val="FF6200"/>
          <w:sz w:val="36"/>
          <w:szCs w:val="36"/>
        </w:rPr>
        <w:t xml:space="preserve">Speaker Notes — Power BI for Finance</w:t>
      </w:r>
    </w:p>
    <w:p>
      <w:pPr>
        <w:spacing w:after="80"/>
      </w:pPr>
      <w:r>
        <w:rPr>
          <w:rFonts w:ascii="Arial" w:cs="Arial" w:eastAsia="Arial" w:hAnsi="Arial"/>
          <w:i/>
          <w:iCs/>
          <w:color w:val="666666"/>
          <w:sz w:val="20"/>
          <w:szCs w:val="20"/>
        </w:rPr>
        <w:t xml:space="preserve">Facilitator use only — not for distribution  |  Orange boxes = what to say  |  Blue boxes = what to do on screen</w:t>
      </w:r>
    </w:p>
    <w:p>
      <w:pPr>
        <w:spacing w:before="160"/>
      </w:pPr>
      <w:r>
        <w:t xml:space="preserve"/>
      </w:r>
    </w:p>
    <w:p>
      <w:pPr>
        <w:pStyle w:val="Heading2"/>
        <w:spacing w:before="260" w:after="100"/>
      </w:pPr>
      <w:r>
        <w:rPr>
          <w:rFonts w:ascii="Arial" w:cs="Arial" w:eastAsia="Arial" w:hAnsi="Arial"/>
          <w:b/>
          <w:bCs/>
          <w:color w:val="002060"/>
          <w:sz w:val="26"/>
          <w:szCs w:val="26"/>
        </w:rPr>
        <w:t xml:space="preserve">Opening — set the context  (0:00–0:10)</w:t>
      </w:r>
    </w:p>
    <w:p>
      <w:pPr>
        <w:spacing w:before="60" w:after="100"/>
      </w:pPr>
      <w:r>
        <w:rPr>
          <w:rFonts w:ascii="Arial" w:cs="Arial" w:eastAsia="Arial" w:hAnsi="Arial"/>
          <w:i/>
          <w:iCs/>
          <w:color w:val="555555"/>
          <w:sz w:val="20"/>
          <w:szCs w:val="20"/>
        </w:rPr>
        <w:t xml:space="preserve">Objective: The audience should understand why this matters before touching any tool.</w:t>
      </w:r>
    </w:p>
    <w:p>
      <w:pPr>
        <w:spacing w:before="60"/>
      </w:pPr>
      <w:r>
        <w:t xml:space="preserve"/>
      </w:r>
    </w:p>
    <w:p>
      <w:pPr>
        <w:pBdr>
          <w:left w:val="single" w:color="FF6200" w:sz="8"/>
        </w:pBdr>
        <w:shd w:fill="FFF8F5" w:val="clear"/>
        <w:spacing w:before="80" w:after="80"/>
        <w:ind w:left="360"/>
      </w:pPr>
      <w:r>
        <w:rPr>
          <w:rFonts w:ascii="Arial" w:cs="Arial" w:eastAsia="Arial" w:hAnsi="Arial"/>
          <w:i/>
          <w:iCs/>
          <w:color w:val="333333"/>
          <w:sz w:val="20"/>
          <w:szCs w:val="20"/>
        </w:rPr>
        <w:t xml:space="preserve">“Finance works with revenue and expense data every month — by country, by product, actuals versus plan. Today we move that data from a static Excel file into a model that answers questions dynamically.”</w:t>
      </w:r>
    </w:p>
    <w:p>
      <w:pPr>
        <w:pBdr>
          <w:left w:val="single" w:color="FF6200" w:sz="8"/>
        </w:pBdr>
        <w:shd w:fill="FFF8F5" w:val="clear"/>
        <w:spacing w:before="80" w:after="80"/>
        <w:ind w:left="360"/>
      </w:pPr>
      <w:r>
        <w:rPr>
          <w:rFonts w:ascii="Arial" w:cs="Arial" w:eastAsia="Arial" w:hAnsi="Arial"/>
          <w:i/>
          <w:iCs/>
          <w:color w:val="333333"/>
          <w:sz w:val="20"/>
          <w:szCs w:val="20"/>
        </w:rPr>
        <w:t xml:space="preserve">“We are not replacing Excel. We are connecting to it. The file structure you already have — countries, products, monthly figures — is exactly what we loaded into Power BI.”</w:t>
      </w:r>
    </w:p>
    <w:p>
      <w:pPr>
        <w:pBdr>
          <w:left w:val="single" w:color="1F4E79" w:sz="6"/>
        </w:pBdr>
        <w:spacing w:before="60" w:after="60"/>
        <w:ind w:left="360"/>
      </w:pPr>
      <w:r>
        <w:rPr>
          <w:rFonts w:ascii="Arial" w:cs="Arial" w:eastAsia="Arial" w:hAnsi="Arial"/>
          <w:b/>
          <w:bCs/>
          <w:color w:val="1F4E79"/>
          <w:sz w:val="20"/>
          <w:szCs w:val="20"/>
        </w:rPr>
        <w:t xml:space="preserve">Do:  Open the Excel file. Show Fact_Revenue tab — point to Country, Product, Month, Actual, Plan. Show Fact_Expenses — same structure plus Expense_Type.</w:t>
      </w:r>
    </w:p>
    <w:p>
      <w:pPr>
        <w:pBdr>
          <w:left w:val="single" w:color="FF6200" w:sz="8"/>
        </w:pBdr>
        <w:shd w:fill="FFF8F5" w:val="clear"/>
        <w:spacing w:before="80" w:after="80"/>
        <w:ind w:left="360"/>
      </w:pPr>
      <w:r>
        <w:rPr>
          <w:rFonts w:ascii="Arial" w:cs="Arial" w:eastAsia="Arial" w:hAnsi="Arial"/>
          <w:i/>
          <w:iCs/>
          <w:color w:val="333333"/>
          <w:sz w:val="20"/>
          <w:szCs w:val="20"/>
        </w:rPr>
        <w:t xml:space="preserve">“Two tables. Revenue and expenses. They share Country and Product. In Power BI, those shared columns become the connections — called relationships — that make one filter work across both tables. We will see that in a few minutes.”</w:t>
      </w:r>
    </w:p>
    <w:p>
      <w:pPr>
        <w:spacing w:before="160"/>
      </w:pPr>
      <w:r>
        <w:t xml:space="preserve"/>
      </w:r>
    </w:p>
    <w:p>
      <w:pPr>
        <w:pStyle w:val="Heading2"/>
        <w:spacing w:before="260" w:after="100"/>
      </w:pPr>
      <w:r>
        <w:rPr>
          <w:rFonts w:ascii="Arial" w:cs="Arial" w:eastAsia="Arial" w:hAnsi="Arial"/>
          <w:b/>
          <w:bCs/>
          <w:color w:val="002060"/>
          <w:sz w:val="26"/>
          <w:szCs w:val="26"/>
        </w:rPr>
        <w:t xml:space="preserve">Data model and relationships  (0:10–0:20)</w:t>
      </w:r>
    </w:p>
    <w:p>
      <w:pPr>
        <w:spacing w:before="60" w:after="100"/>
      </w:pPr>
      <w:r>
        <w:rPr>
          <w:rFonts w:ascii="Arial" w:cs="Arial" w:eastAsia="Arial" w:hAnsi="Arial"/>
          <w:i/>
          <w:iCs/>
          <w:color w:val="555555"/>
          <w:sz w:val="20"/>
          <w:szCs w:val="20"/>
        </w:rPr>
        <w:t xml:space="preserve">Objective: Show the star schema. Draw the relationships. Then demonstrate the slicer immediately.</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Do:  Open Power BI. Go to Model view. Show the four tables — Dim_Country, Dim_Product, Fact_Revenue, Fact_Expenses. Show the relationship lines connecting them.</w:t>
      </w:r>
    </w:p>
    <w:p>
      <w:pPr>
        <w:pBdr>
          <w:left w:val="single" w:color="FF6200" w:sz="8"/>
        </w:pBdr>
        <w:shd w:fill="FFF8F5" w:val="clear"/>
        <w:spacing w:before="80" w:after="80"/>
        <w:ind w:left="360"/>
      </w:pPr>
      <w:r>
        <w:rPr>
          <w:rFonts w:ascii="Arial" w:cs="Arial" w:eastAsia="Arial" w:hAnsi="Arial"/>
          <w:i/>
          <w:iCs/>
          <w:color w:val="333333"/>
          <w:sz w:val="20"/>
          <w:szCs w:val="20"/>
        </w:rPr>
        <w:t xml:space="preserve">“Dim_Country has eight rows — one per country. Fact_Revenue has thousands of rows — many per country. The relationship connects them on the Country column. This is a Many-to-One relationship.”</w:t>
      </w:r>
    </w:p>
    <w:p>
      <w:pPr>
        <w:pBdr>
          <w:left w:val="single" w:color="FF6200" w:sz="8"/>
        </w:pBdr>
        <w:shd w:fill="FFF8F5" w:val="clear"/>
        <w:spacing w:before="80" w:after="80"/>
        <w:ind w:left="360"/>
      </w:pPr>
      <w:r>
        <w:rPr>
          <w:rFonts w:ascii="Arial" w:cs="Arial" w:eastAsia="Arial" w:hAnsi="Arial"/>
          <w:i/>
          <w:iCs/>
          <w:color w:val="333333"/>
          <w:sz w:val="20"/>
          <w:szCs w:val="20"/>
        </w:rPr>
        <w:t xml:space="preserve">“What this means in practice: a single Country slicer, built from Dim_Country, filters both Fact_Revenue and Fact_Expenses at the same time. Watch.”</w:t>
      </w:r>
    </w:p>
    <w:p>
      <w:pPr>
        <w:pBdr>
          <w:left w:val="single" w:color="1F4E79" w:sz="6"/>
        </w:pBdr>
        <w:spacing w:before="60" w:after="60"/>
        <w:ind w:left="360"/>
      </w:pPr>
      <w:r>
        <w:rPr>
          <w:rFonts w:ascii="Arial" w:cs="Arial" w:eastAsia="Arial" w:hAnsi="Arial"/>
          <w:b/>
          <w:bCs/>
          <w:color w:val="1F4E79"/>
          <w:sz w:val="20"/>
          <w:szCs w:val="20"/>
        </w:rPr>
        <w:t xml:space="preserve">Do:  Go to Report view. Click Singapore in the Country slicer. Point to the revenue chart updating. Point to the product chart updating. Say: one click, both tables, all visuals.</w:t>
      </w:r>
    </w:p>
    <w:p>
      <w:pPr>
        <w:pBdr>
          <w:left w:val="single" w:color="FF6200" w:sz="8"/>
        </w:pBdr>
        <w:shd w:fill="FFF8F5" w:val="clear"/>
        <w:spacing w:before="80" w:after="80"/>
        <w:ind w:left="360"/>
      </w:pPr>
      <w:r>
        <w:rPr>
          <w:rFonts w:ascii="Arial" w:cs="Arial" w:eastAsia="Arial" w:hAnsi="Arial"/>
          <w:i/>
          <w:iCs/>
          <w:color w:val="333333"/>
          <w:sz w:val="20"/>
          <w:szCs w:val="20"/>
        </w:rPr>
        <w:t xml:space="preserve">“That is the relationship working. Without it, selecting Singapore in one chart would have no effect on the expense visuals. With it, everything is connected.”</w:t>
      </w:r>
    </w:p>
    <w:p>
      <w:pPr>
        <w:spacing w:before="160"/>
      </w:pPr>
      <w:r>
        <w:t xml:space="preserve"/>
      </w:r>
    </w:p>
    <w:p>
      <w:pPr>
        <w:pStyle w:val="Heading2"/>
        <w:spacing w:before="260" w:after="100"/>
      </w:pPr>
      <w:r>
        <w:rPr>
          <w:rFonts w:ascii="Arial" w:cs="Arial" w:eastAsia="Arial" w:hAnsi="Arial"/>
          <w:b/>
          <w:bCs/>
          <w:color w:val="002060"/>
          <w:sz w:val="26"/>
          <w:szCs w:val="26"/>
        </w:rPr>
        <w:t xml:space="preserve">DAX measures  (0:20–0:50)</w:t>
      </w:r>
    </w:p>
    <w:p>
      <w:pPr>
        <w:spacing w:before="60" w:after="100"/>
      </w:pPr>
      <w:r>
        <w:rPr>
          <w:rFonts w:ascii="Arial" w:cs="Arial" w:eastAsia="Arial" w:hAnsi="Arial"/>
          <w:i/>
          <w:iCs/>
          <w:color w:val="555555"/>
          <w:sz w:val="20"/>
          <w:szCs w:val="20"/>
        </w:rPr>
        <w:t xml:space="preserve">Objective: Type all 10 measures live. Explain each one before typing. Do not paste — type slowly so the audience can follow.</w:t>
      </w:r>
    </w:p>
    <w:p>
      <w:pPr>
        <w:spacing w:before="60"/>
      </w:pPr>
      <w:r>
        <w:t xml:space="preserve"/>
      </w:r>
    </w:p>
    <w:p>
      <w:pPr>
        <w:pBdr>
          <w:left w:val="single" w:color="FF6200" w:sz="8"/>
        </w:pBdr>
        <w:shd w:fill="FFF8F5" w:val="clear"/>
        <w:spacing w:before="80" w:after="80"/>
        <w:ind w:left="360"/>
      </w:pPr>
      <w:r>
        <w:rPr>
          <w:rFonts w:ascii="Arial" w:cs="Arial" w:eastAsia="Arial" w:hAnsi="Arial"/>
          <w:i/>
          <w:iCs/>
          <w:color w:val="333333"/>
          <w:sz w:val="20"/>
          <w:szCs w:val="20"/>
        </w:rPr>
        <w:t xml:space="preserve">“A DAX measure is a formula that lives in the model. It evaluates against whatever filters are active at the moment it runs. It is not tied to a cell or a row.”</w:t>
      </w:r>
    </w:p>
    <w:p>
      <w:pPr>
        <w:pBdr>
          <w:left w:val="single" w:color="1F4E79" w:sz="6"/>
        </w:pBdr>
        <w:spacing w:before="60" w:after="60"/>
        <w:ind w:left="360"/>
      </w:pPr>
      <w:r>
        <w:rPr>
          <w:rFonts w:ascii="Arial" w:cs="Arial" w:eastAsia="Arial" w:hAnsi="Arial"/>
          <w:b/>
          <w:bCs/>
          <w:color w:val="1F4E79"/>
          <w:sz w:val="20"/>
          <w:szCs w:val="20"/>
        </w:rPr>
        <w:t xml:space="preserve">Do:  Home → New Measure. Clear the bar. Type: Total Actual Revenue = SUM(Fact_Revenue[Actual_EUR000]). Press Enter.</w:t>
      </w:r>
    </w:p>
    <w:p>
      <w:pPr>
        <w:pBdr>
          <w:left w:val="single" w:color="FF6200" w:sz="8"/>
        </w:pBdr>
        <w:shd w:fill="FFF8F5" w:val="clear"/>
        <w:spacing w:before="80" w:after="80"/>
        <w:ind w:left="360"/>
      </w:pPr>
      <w:r>
        <w:rPr>
          <w:rFonts w:ascii="Arial" w:cs="Arial" w:eastAsia="Arial" w:hAnsi="Arial"/>
          <w:i/>
          <w:iCs/>
          <w:color w:val="333333"/>
          <w:sz w:val="20"/>
          <w:szCs w:val="20"/>
        </w:rPr>
        <w:t xml:space="preserve">“SUM is the same as in Excel. The difference is the square brackets — that is how DAX references a table column. The measure now works on any visual, filtered by any slicer.”</w:t>
      </w:r>
    </w:p>
    <w:p>
      <w:pPr>
        <w:pBdr>
          <w:left w:val="single" w:color="1F4E79" w:sz="6"/>
        </w:pBdr>
        <w:spacing w:before="60" w:after="60"/>
        <w:ind w:left="360"/>
      </w:pPr>
      <w:r>
        <w:rPr>
          <w:rFonts w:ascii="Arial" w:cs="Arial" w:eastAsia="Arial" w:hAnsi="Arial"/>
          <w:b/>
          <w:bCs/>
          <w:color w:val="1F4E79"/>
          <w:sz w:val="20"/>
          <w:szCs w:val="20"/>
        </w:rPr>
        <w:t xml:space="preserve">Do:  Create Total Plan Revenue. Then Revenue Variance = [Total Actual Revenue] - [Total Plan Revenue]. Drag Variance to a card.</w:t>
      </w:r>
    </w:p>
    <w:p>
      <w:pPr>
        <w:pBdr>
          <w:left w:val="single" w:color="FF6200" w:sz="8"/>
        </w:pBdr>
        <w:shd w:fill="FFF8F5" w:val="clear"/>
        <w:spacing w:before="80" w:after="80"/>
        <w:ind w:left="360"/>
      </w:pPr>
      <w:r>
        <w:rPr>
          <w:rFonts w:ascii="Arial" w:cs="Arial" w:eastAsia="Arial" w:hAnsi="Arial"/>
          <w:i/>
          <w:iCs/>
          <w:color w:val="333333"/>
          <w:sz w:val="20"/>
          <w:szCs w:val="20"/>
        </w:rPr>
        <w:t xml:space="preserve">“Revenue Variance references two measures already created. When the data refreshes, both measures update automatically and so does the variance. No formula maintenance.”</w:t>
      </w:r>
    </w:p>
    <w:p>
      <w:pPr>
        <w:pBdr>
          <w:left w:val="single" w:color="1F4E79" w:sz="6"/>
        </w:pBdr>
        <w:spacing w:before="60" w:after="60"/>
        <w:ind w:left="360"/>
      </w:pPr>
      <w:r>
        <w:rPr>
          <w:rFonts w:ascii="Arial" w:cs="Arial" w:eastAsia="Arial" w:hAnsi="Arial"/>
          <w:b/>
          <w:bCs/>
          <w:color w:val="1F4E79"/>
          <w:sz w:val="20"/>
          <w:szCs w:val="20"/>
        </w:rPr>
        <w:t xml:space="preserve">Do:  Create Revenue Variance % = DIVIDE([Revenue Variance], [Total Plan Revenue], 0). Explain DIVIDE.</w:t>
      </w:r>
    </w:p>
    <w:p>
      <w:pPr>
        <w:pBdr>
          <w:left w:val="single" w:color="FF6200" w:sz="8"/>
        </w:pBdr>
        <w:shd w:fill="FFF8F5" w:val="clear"/>
        <w:spacing w:before="80" w:after="80"/>
        <w:ind w:left="360"/>
      </w:pPr>
      <w:r>
        <w:rPr>
          <w:rFonts w:ascii="Arial" w:cs="Arial" w:eastAsia="Arial" w:hAnsi="Arial"/>
          <w:i/>
          <w:iCs/>
          <w:color w:val="333333"/>
          <w:sz w:val="20"/>
          <w:szCs w:val="20"/>
        </w:rPr>
        <w:t xml:space="preserve">“DIVIDE is used instead of the division operator because if the plan is ever zero, a division would return an error. DIVIDE returns the third argument — zero — which is safe.”</w:t>
      </w:r>
    </w:p>
    <w:p>
      <w:pPr>
        <w:pBdr>
          <w:left w:val="single" w:color="1F4E79" w:sz="6"/>
        </w:pBdr>
        <w:spacing w:before="60" w:after="60"/>
        <w:ind w:left="360"/>
      </w:pPr>
      <w:r>
        <w:rPr>
          <w:rFonts w:ascii="Arial" w:cs="Arial" w:eastAsia="Arial" w:hAnsi="Arial"/>
          <w:b/>
          <w:bCs/>
          <w:color w:val="1F4E79"/>
          <w:sz w:val="20"/>
          <w:szCs w:val="20"/>
        </w:rPr>
        <w:t xml:space="preserve">Do:  Create Total Actual Expenses, Total Plan Expenses, Expense Variance. Point out the sign convention.</w:t>
      </w:r>
    </w:p>
    <w:p>
      <w:pPr>
        <w:pBdr>
          <w:left w:val="single" w:color="FF6200" w:sz="8"/>
        </w:pBdr>
        <w:shd w:fill="FFF8F5" w:val="clear"/>
        <w:spacing w:before="80" w:after="80"/>
        <w:ind w:left="360"/>
      </w:pPr>
      <w:r>
        <w:rPr>
          <w:rFonts w:ascii="Arial" w:cs="Arial" w:eastAsia="Arial" w:hAnsi="Arial"/>
          <w:i/>
          <w:iCs/>
          <w:color w:val="333333"/>
          <w:sz w:val="20"/>
          <w:szCs w:val="20"/>
        </w:rPr>
        <w:t xml:space="preserve">“For expenses, a positive variance means costs are above plan — that is unfavourable. The sign convention is the opposite of revenue. Conditional formatting will show this in red.”</w:t>
      </w:r>
    </w:p>
    <w:p>
      <w:pPr>
        <w:pBdr>
          <w:left w:val="single" w:color="1F4E79" w:sz="6"/>
        </w:pBdr>
        <w:spacing w:before="60" w:after="60"/>
        <w:ind w:left="360"/>
      </w:pPr>
      <w:r>
        <w:rPr>
          <w:rFonts w:ascii="Arial" w:cs="Arial" w:eastAsia="Arial" w:hAnsi="Arial"/>
          <w:b/>
          <w:bCs/>
          <w:color w:val="1F4E79"/>
          <w:sz w:val="20"/>
          <w:szCs w:val="20"/>
        </w:rPr>
        <w:t xml:space="preserve">Do:  Create PBT = [Total Actual Revenue] - [Total Actual Expenses]. Create CI Ratio = DIVIDE([Total Actual Expenses], [Total Actual Revenue], 0). Format as %.</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CI Ratio for APAC in 2025 is approximately 57 percent. That means for every euro of income, 57 cents goes on costs. Both measures reference other measures — this is how a calculation layer builds up in DAX.”</w:t>
      </w:r>
    </w:p>
    <w:p>
      <w:pPr>
        <w:pBdr>
          <w:left w:val="single" w:color="1F4E79" w:sz="6"/>
        </w:pBdr>
        <w:spacing w:before="60" w:after="60"/>
        <w:ind w:left="360"/>
      </w:pPr>
      <w:r>
        <w:rPr>
          <w:rFonts w:ascii="Arial" w:cs="Arial" w:eastAsia="Arial" w:hAnsi="Arial"/>
          <w:b/>
          <w:bCs/>
          <w:color w:val="1F4E79"/>
          <w:sz w:val="20"/>
          <w:szCs w:val="20"/>
        </w:rPr>
        <w:t xml:space="preserve">Do:  Create Country Share % = DIVIDE([Total Actual Revenue], CALCULATE([Total Actual Revenue], ALL(Dim_Country)), 0). Add to table. Click Singapore.</w:t>
      </w:r>
    </w:p>
    <w:p>
      <w:pPr>
        <w:pBdr>
          <w:left w:val="single" w:color="FF6200" w:sz="8"/>
        </w:pBdr>
        <w:shd w:fill="FFF8F5" w:val="clear"/>
        <w:spacing w:before="80" w:after="80"/>
        <w:ind w:left="360"/>
      </w:pPr>
      <w:r>
        <w:rPr>
          <w:rFonts w:ascii="Arial" w:cs="Arial" w:eastAsia="Arial" w:hAnsi="Arial"/>
          <w:i/>
          <w:iCs/>
          <w:color w:val="333333"/>
          <w:sz w:val="20"/>
          <w:szCs w:val="20"/>
        </w:rPr>
        <w:t xml:space="preserve">“CALCULATE evaluates the measure in a modified filter context. ALL removes the country filter from the denominator so it stays fixed at the APAC total. Singapore shows 50 percent whether or not other countries are selected. This is not possible with a standard pivot table formula.”</w:t>
      </w:r>
    </w:p>
    <w:p>
      <w:pPr>
        <w:spacing w:before="160"/>
      </w:pPr>
      <w:r>
        <w:t xml:space="preserve"/>
      </w:r>
    </w:p>
    <w:p>
      <w:pPr>
        <w:pStyle w:val="Heading2"/>
        <w:spacing w:before="260" w:after="100"/>
      </w:pPr>
      <w:r>
        <w:rPr>
          <w:rFonts w:ascii="Arial" w:cs="Arial" w:eastAsia="Arial" w:hAnsi="Arial"/>
          <w:b/>
          <w:bCs/>
          <w:color w:val="002060"/>
          <w:sz w:val="26"/>
          <w:szCs w:val="26"/>
        </w:rPr>
        <w:t xml:space="preserve">Dashboard visuals  (0:50–1:15)</w:t>
      </w:r>
    </w:p>
    <w:p>
      <w:pPr>
        <w:spacing w:before="60" w:after="100"/>
      </w:pPr>
      <w:r>
        <w:rPr>
          <w:rFonts w:ascii="Arial" w:cs="Arial" w:eastAsia="Arial" w:hAnsi="Arial"/>
          <w:i/>
          <w:iCs/>
          <w:color w:val="555555"/>
          <w:sz w:val="20"/>
          <w:szCs w:val="20"/>
        </w:rPr>
        <w:t xml:space="preserve">Objective: Build the four visuals and two slicers. Let the interactivity speak for itself.</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Do:  Five Card visuals in a row: Total Actual Revenue, Total Plan Revenue, Revenue Variance, PBT, CI Ratio.</w:t>
      </w:r>
    </w:p>
    <w:p>
      <w:pPr>
        <w:pBdr>
          <w:left w:val="single" w:color="FF6200" w:sz="8"/>
        </w:pBdr>
        <w:shd w:fill="FFF8F5" w:val="clear"/>
        <w:spacing w:before="80" w:after="80"/>
        <w:ind w:left="360"/>
      </w:pPr>
      <w:r>
        <w:rPr>
          <w:rFonts w:ascii="Arial" w:cs="Arial" w:eastAsia="Arial" w:hAnsi="Arial"/>
          <w:i/>
          <w:iCs/>
          <w:color w:val="333333"/>
          <w:sz w:val="20"/>
          <w:szCs w:val="20"/>
        </w:rPr>
        <w:t xml:space="preserve">“This is the KPI row — the first thing Finance leadership looks at. All five numbers update when any slicer is clicked.”</w:t>
      </w:r>
    </w:p>
    <w:p>
      <w:pPr>
        <w:pBdr>
          <w:left w:val="single" w:color="1F4E79" w:sz="6"/>
        </w:pBdr>
        <w:spacing w:before="60" w:after="60"/>
        <w:ind w:left="360"/>
      </w:pPr>
      <w:r>
        <w:rPr>
          <w:rFonts w:ascii="Arial" w:cs="Arial" w:eastAsia="Arial" w:hAnsi="Arial"/>
          <w:b/>
          <w:bCs/>
          <w:color w:val="1F4E79"/>
          <w:sz w:val="20"/>
          <w:szCs w:val="20"/>
        </w:rPr>
        <w:t xml:space="preserve">Do:  Clustered Bar: Y-axis Country from Dim_Country, X-axis Total Actual Revenue. Sort descending.</w:t>
      </w:r>
    </w:p>
    <w:p>
      <w:pPr>
        <w:pBdr>
          <w:left w:val="single" w:color="FF6200" w:sz="8"/>
        </w:pBdr>
        <w:shd w:fill="FFF8F5" w:val="clear"/>
        <w:spacing w:before="80" w:after="80"/>
        <w:ind w:left="360"/>
      </w:pPr>
      <w:r>
        <w:rPr>
          <w:rFonts w:ascii="Arial" w:cs="Arial" w:eastAsia="Arial" w:hAnsi="Arial"/>
          <w:i/>
          <w:iCs/>
          <w:color w:val="333333"/>
          <w:sz w:val="20"/>
          <w:szCs w:val="20"/>
        </w:rPr>
        <w:t xml:space="preserve">“Singapore is at the top with roughly half of total APAC revenue. This chart updates when the Product slicer is used — Lending revenue by country looks different from Financial Markets.”</w:t>
      </w:r>
    </w:p>
    <w:p>
      <w:pPr>
        <w:pBdr>
          <w:left w:val="single" w:color="1F4E79" w:sz="6"/>
        </w:pBdr>
        <w:spacing w:before="60" w:after="60"/>
        <w:ind w:left="360"/>
      </w:pPr>
      <w:r>
        <w:rPr>
          <w:rFonts w:ascii="Arial" w:cs="Arial" w:eastAsia="Arial" w:hAnsi="Arial"/>
          <w:b/>
          <w:bCs/>
          <w:color w:val="1F4E79"/>
          <w:sz w:val="20"/>
          <w:szCs w:val="20"/>
        </w:rPr>
        <w:t xml:space="preserve">Do:  Clustered Column: X-axis Product from Dim_Product, Y-axis Total Actual Revenue and Total Plan Revenue.</w:t>
      </w:r>
    </w:p>
    <w:p>
      <w:pPr>
        <w:pBdr>
          <w:left w:val="single" w:color="FF6200" w:sz="8"/>
        </w:pBdr>
        <w:shd w:fill="FFF8F5" w:val="clear"/>
        <w:spacing w:before="80" w:after="80"/>
        <w:ind w:left="360"/>
      </w:pPr>
      <w:r>
        <w:rPr>
          <w:rFonts w:ascii="Arial" w:cs="Arial" w:eastAsia="Arial" w:hAnsi="Arial"/>
          <w:i/>
          <w:iCs/>
          <w:color w:val="333333"/>
          <w:sz w:val="20"/>
          <w:szCs w:val="20"/>
        </w:rPr>
        <w:t xml:space="preserve">“Two bars per product — actual and plan side by side. Lending is the largest product. Where the actual bar is shorter than the plan bar, revenue is below target.”</w:t>
      </w:r>
    </w:p>
    <w:p>
      <w:pPr>
        <w:pBdr>
          <w:left w:val="single" w:color="1F4E79" w:sz="6"/>
        </w:pBdr>
        <w:spacing w:before="60" w:after="60"/>
        <w:ind w:left="360"/>
      </w:pPr>
      <w:r>
        <w:rPr>
          <w:rFonts w:ascii="Arial" w:cs="Arial" w:eastAsia="Arial" w:hAnsi="Arial"/>
          <w:b/>
          <w:bCs/>
          <w:color w:val="1F4E79"/>
          <w:sz w:val="20"/>
          <w:szCs w:val="20"/>
        </w:rPr>
        <w:t xml:space="preserve">Do:  Clustered Column: X-axis Month_Num, Y-axis Total Actual Revenue and Total Plan Revenue. Filter to 2025.</w:t>
      </w:r>
    </w:p>
    <w:p>
      <w:pPr>
        <w:pBdr>
          <w:left w:val="single" w:color="FF6200" w:sz="8"/>
        </w:pBdr>
        <w:shd w:fill="FFF8F5" w:val="clear"/>
        <w:spacing w:before="80" w:after="80"/>
        <w:ind w:left="360"/>
      </w:pPr>
      <w:r>
        <w:rPr>
          <w:rFonts w:ascii="Arial" w:cs="Arial" w:eastAsia="Arial" w:hAnsi="Arial"/>
          <w:i/>
          <w:iCs/>
          <w:color w:val="333333"/>
          <w:sz w:val="20"/>
          <w:szCs w:val="20"/>
        </w:rPr>
        <w:t xml:space="preserve">“Monthly view filtered to 2025 actuals. The bars rise gradually through the year — revenue is higher in the second half. Select 2026 in the Year slicer and the actual bars disappear — plan only, as expected.”</w:t>
      </w:r>
    </w:p>
    <w:p>
      <w:pPr>
        <w:pBdr>
          <w:left w:val="single" w:color="1F4E79" w:sz="6"/>
        </w:pBdr>
        <w:spacing w:before="60" w:after="60"/>
        <w:ind w:left="360"/>
      </w:pPr>
      <w:r>
        <w:rPr>
          <w:rFonts w:ascii="Arial" w:cs="Arial" w:eastAsia="Arial" w:hAnsi="Arial"/>
          <w:b/>
          <w:bCs/>
          <w:color w:val="1F4E79"/>
          <w:sz w:val="20"/>
          <w:szCs w:val="20"/>
        </w:rPr>
        <w:t xml:space="preserve">Do:  Add Country slicer from Dim_Country. Add Product slicer from Dim_Product. Click Japan. Click Lending.</w:t>
      </w:r>
    </w:p>
    <w:p>
      <w:pPr>
        <w:pBdr>
          <w:left w:val="single" w:color="FF6200" w:sz="8"/>
        </w:pBdr>
        <w:shd w:fill="FFF8F5" w:val="clear"/>
        <w:spacing w:before="80" w:after="80"/>
        <w:ind w:left="360"/>
      </w:pPr>
      <w:r>
        <w:rPr>
          <w:rFonts w:ascii="Arial" w:cs="Arial" w:eastAsia="Arial" w:hAnsi="Arial"/>
          <w:i/>
          <w:iCs/>
          <w:color w:val="333333"/>
          <w:sz w:val="20"/>
          <w:szCs w:val="20"/>
        </w:rPr>
        <w:t xml:space="preserve">“Japan Lending revenue, all months, actuals versus plan. That is five clicks from a blank canvas to a specific business answer. No pivot table rebuild, no VLOOKUP, no copy-paste.”</w:t>
      </w:r>
    </w:p>
    <w:p>
      <w:pPr>
        <w:spacing w:before="160"/>
      </w:pPr>
      <w:r>
        <w:t xml:space="preserve"/>
      </w:r>
    </w:p>
    <w:p>
      <w:pPr>
        <w:pStyle w:val="Heading2"/>
        <w:spacing w:before="260" w:after="100"/>
      </w:pPr>
      <w:r>
        <w:rPr>
          <w:rFonts w:ascii="Arial" w:cs="Arial" w:eastAsia="Arial" w:hAnsi="Arial"/>
          <w:b/>
          <w:bCs/>
          <w:color w:val="002060"/>
          <w:sz w:val="26"/>
          <w:szCs w:val="26"/>
        </w:rPr>
        <w:t xml:space="preserve">Close  (1:15–1:30)</w:t>
      </w:r>
    </w:p>
    <w:p>
      <w:pPr>
        <w:spacing w:before="60" w:after="100"/>
      </w:pPr>
      <w:r>
        <w:rPr>
          <w:rFonts w:ascii="Arial" w:cs="Arial" w:eastAsia="Arial" w:hAnsi="Arial"/>
          <w:i/>
          <w:iCs/>
          <w:color w:val="555555"/>
          <w:sz w:val="20"/>
          <w:szCs w:val="20"/>
        </w:rPr>
        <w:t xml:space="preserve">Objective: One clear takeaway. Practical next steps.</w:t>
      </w:r>
    </w:p>
    <w:p>
      <w:pPr>
        <w:spacing w:before="60"/>
      </w:pPr>
      <w:r>
        <w:t xml:space="preserve"/>
      </w:r>
    </w:p>
    <w:p>
      <w:pPr>
        <w:pBdr>
          <w:left w:val="single" w:color="1F4E79" w:sz="6"/>
        </w:pBdr>
        <w:spacing w:before="60" w:after="60"/>
        <w:ind w:left="360"/>
      </w:pPr>
      <w:r>
        <w:rPr>
          <w:rFonts w:ascii="Arial" w:cs="Arial" w:eastAsia="Arial" w:hAnsi="Arial"/>
          <w:b/>
          <w:bCs/>
          <w:color w:val="1F4E79"/>
          <w:sz w:val="20"/>
          <w:szCs w:val="20"/>
        </w:rPr>
        <w:t xml:space="preserve">Do:  Ctrl+S. Show the .pbix file saved.</w:t>
      </w:r>
    </w:p>
    <w:p>
      <w:pPr>
        <w:pBdr>
          <w:left w:val="single" w:color="FF6200" w:sz="8"/>
        </w:pBdr>
        <w:shd w:fill="FFF8F5" w:val="clear"/>
        <w:spacing w:before="80" w:after="80"/>
        <w:ind w:left="360"/>
      </w:pPr>
      <w:r>
        <w:rPr>
          <w:rFonts w:ascii="Arial" w:cs="Arial" w:eastAsia="Arial" w:hAnsi="Arial"/>
          <w:i/>
          <w:iCs/>
          <w:color w:val="333333"/>
          <w:sz w:val="20"/>
          <w:szCs w:val="20"/>
        </w:rPr>
        <w:t xml:space="preserve">“Everything built today — the data model, the relationships, the 10 measures, the dashboard — is in this one file. Copy it alongside the Excel file to any machine with Power BI Desktop and it opens exactly as it is now.”</w:t>
      </w:r>
    </w:p>
    <w:p>
      <w:pPr>
        <w:pBdr>
          <w:left w:val="single" w:color="FF6200" w:sz="8"/>
        </w:pBdr>
        <w:shd w:fill="FFF8F5" w:val="clear"/>
        <w:spacing w:before="80" w:after="80"/>
        <w:ind w:left="360"/>
      </w:pPr>
      <w:r>
        <w:rPr>
          <w:rFonts w:ascii="Arial" w:cs="Arial" w:eastAsia="Arial" w:hAnsi="Arial"/>
          <w:i/>
          <w:iCs/>
          <w:color w:val="333333"/>
          <w:sz w:val="20"/>
          <w:szCs w:val="20"/>
        </w:rPr>
        <w:t xml:space="preserve">“The single most important concept from today is the relationship. Two fact tables, two dimension tables, four lines drawn in Model view — and one Country slicer that controls the entire dashboard. That is what separates a Power BI model from a collection of pivot tables.”</w:t>
      </w:r>
    </w:p>
    <w:p>
      <w:pPr>
        <w:pBdr>
          <w:left w:val="single" w:color="FF6200" w:sz="8"/>
        </w:pBdr>
        <w:shd w:fill="FFF8F5" w:val="clear"/>
        <w:spacing w:before="80" w:after="80"/>
        <w:ind w:left="360"/>
      </w:pPr>
      <w:r>
        <w:rPr>
          <w:rFonts w:ascii="Arial" w:cs="Arial" w:eastAsia="Arial" w:hAnsi="Arial"/>
          <w:i/>
          <w:iCs/>
          <w:color w:val="333333"/>
          <w:sz w:val="20"/>
          <w:szCs w:val="20"/>
        </w:rPr>
        <w:t xml:space="preserve">“From here, the natural next step is Power BI Service — publishing this report to a web link that the team can access without opening Desktop. That is a separate topic, but the foundation built today carries forward directly.”</w:t>
      </w:r>
    </w:p>
    <w:p>
      <w:pPr>
        <w:spacing w:before="160"/>
      </w:pPr>
      <w:r>
        <w:t xml:space="preserve"/>
      </w:r>
    </w:p>
    <w:p>
      <w:pPr>
        <w:pStyle w:val="Heading2"/>
        <w:spacing w:before="260" w:after="100"/>
      </w:pPr>
      <w:r>
        <w:rPr>
          <w:rFonts w:ascii="Arial" w:cs="Arial" w:eastAsia="Arial" w:hAnsi="Arial"/>
          <w:b/>
          <w:bCs/>
          <w:color w:val="002060"/>
          <w:sz w:val="26"/>
          <w:szCs w:val="26"/>
        </w:rPr>
        <w:t xml:space="preserve">Questions — suggested responses</w:t>
      </w:r>
    </w:p>
    <w:p>
      <w:pPr>
        <w:spacing w:before="60"/>
      </w:pPr>
      <w:r>
        <w:t xml:space="preserve"/>
      </w:r>
    </w:p>
    <w:p>
      <w:pPr>
        <w:pBdr>
          <w:left w:val="single" w:color="FF6200" w:sz="8"/>
        </w:pBdr>
        <w:shd w:fill="FFF8F5" w:val="clear"/>
        <w:spacing w:before="80" w:after="80"/>
        <w:ind w:left="360"/>
      </w:pPr>
      <w:r>
        <w:rPr>
          <w:rFonts w:ascii="Arial" w:cs="Arial" w:eastAsia="Arial" w:hAnsi="Arial"/>
          <w:i/>
          <w:iCs/>
          <w:color w:val="333333"/>
          <w:sz w:val="20"/>
          <w:szCs w:val="20"/>
        </w:rPr>
        <w:t xml:space="preserve">“Q: Why is the monthly line flat?  —  Both years are loaded and each month sums to the same total. Filter the visual to Year = 2025 using the Year slicer or the visual-level filter on the right.”</w:t>
      </w:r>
    </w:p>
    <w:p>
      <w:pPr>
        <w:pBdr>
          <w:left w:val="single" w:color="FF6200" w:sz="8"/>
        </w:pBdr>
        <w:shd w:fill="FFF8F5" w:val="clear"/>
        <w:spacing w:before="80" w:after="80"/>
        <w:ind w:left="360"/>
      </w:pPr>
      <w:r>
        <w:rPr>
          <w:rFonts w:ascii="Arial" w:cs="Arial" w:eastAsia="Arial" w:hAnsi="Arial"/>
          <w:i/>
          <w:iCs/>
          <w:color w:val="333333"/>
          <w:sz w:val="20"/>
          <w:szCs w:val="20"/>
        </w:rPr>
        <w:t xml:space="preserve">“Q: The Actual column shows blank for 2026.  —  That is correct. 2026 is the plan year. Actual figures do not yet exist, so those cells were left blank in the source data intentionally.”</w:t>
      </w:r>
    </w:p>
    <w:p>
      <w:pPr>
        <w:pBdr>
          <w:left w:val="single" w:color="FF6200" w:sz="8"/>
        </w:pBdr>
        <w:shd w:fill="FFF8F5" w:val="clear"/>
        <w:spacing w:before="80" w:after="80"/>
        <w:ind w:left="360"/>
      </w:pPr>
      <w:r>
        <w:rPr>
          <w:rFonts w:ascii="Arial" w:cs="Arial" w:eastAsia="Arial" w:hAnsi="Arial"/>
          <w:i/>
          <w:iCs/>
          <w:color w:val="333333"/>
          <w:sz w:val="20"/>
          <w:szCs w:val="20"/>
        </w:rPr>
        <w:t xml:space="preserve">“Q: Can we connect this to SAP or our actual systems?  —  Yes. Power BI has native connectors for SAP HANA, SAP BW and SQL databases. The measures and visuals built today work identically regardless of the data source. That connection is an IT and governance conversation.”</w:t>
      </w:r>
    </w:p>
    <w:p>
      <w:pPr>
        <w:pBdr>
          <w:left w:val="single" w:color="FF6200" w:sz="8"/>
        </w:pBdr>
        <w:shd w:fill="FFF8F5" w:val="clear"/>
        <w:spacing w:before="80" w:after="80"/>
        <w:ind w:left="360"/>
      </w:pPr>
      <w:r>
        <w:rPr>
          <w:rFonts w:ascii="Arial" w:cs="Arial" w:eastAsia="Arial" w:hAnsi="Arial"/>
          <w:i/>
          <w:iCs/>
          <w:color w:val="333333"/>
          <w:sz w:val="20"/>
          <w:szCs w:val="20"/>
        </w:rPr>
        <w:t xml:space="preserve">“Q: How do we share this with others?  —  Publish to Power BI Service via the Publish button in the ribbon. Sharing and licensing rules apply — check with IT before publishing externally.”</w:t>
      </w:r>
    </w:p>
    <w:p>
      <w:pPr>
        <w:pBdr>
          <w:left w:val="single" w:color="FF6200" w:sz="8"/>
        </w:pBdr>
        <w:shd w:fill="FFF8F5" w:val="clear"/>
        <w:spacing w:before="80" w:after="80"/>
        <w:ind w:left="360"/>
      </w:pPr>
      <w:r>
        <w:rPr>
          <w:rFonts w:ascii="Arial" w:cs="Arial" w:eastAsia="Arial" w:hAnsi="Arial"/>
          <w:i/>
          <w:iCs/>
          <w:color w:val="333333"/>
          <w:sz w:val="20"/>
          <w:szCs w:val="20"/>
        </w:rPr>
        <w:t xml:space="preserve">“Q: The relationship shows Many-to-Many error.  —  This happens when the dimension table does not have unique values. Dim_Country and Dim_Product each have exactly one row per value, which is why the relationships work cleanly.”</w:t>
      </w:r>
    </w:p>
    <w:p>
      <w:pPr>
        <w:spacing w:before="160"/>
      </w:pPr>
      <w:r>
        <w:t xml:space="preserve"/>
      </w:r>
    </w:p>
    <w:p>
      <w:pPr>
        <w:spacing w:before="240"/>
        <w:jc w:val="center"/>
      </w:pPr>
      <w:r>
        <w:rPr>
          <w:rFonts w:ascii="Arial" w:cs="Arial" w:eastAsia="Arial" w:hAnsi="Arial"/>
          <w:i/>
          <w:iCs/>
          <w:color w:val="AAAAAA"/>
          <w:sz w:val="16"/>
          <w:szCs w:val="16"/>
        </w:rPr>
        <w:t xml:space="preserve">Facilitator notes — ING APAC Finance Power BI Training — Internal use only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FF6200"/>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002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2026-03-15T14:24:01.144Z</dcterms:created>
  <dcterms:modified xsi:type="dcterms:W3CDTF">2026-03-15T14:24:01.144Z</dcterms:modified>
</cp:coreProperties>
</file>

<file path=docProps/custom.xml><?xml version="1.0" encoding="utf-8"?>
<Properties xmlns="http://schemas.openxmlformats.org/officeDocument/2006/custom-properties" xmlns:vt="http://schemas.openxmlformats.org/officeDocument/2006/docPropsVTypes"/>
</file>