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rPr>
          <w:rFonts w:ascii="Arial" w:hAnsi="Arial" w:eastAsia="等线" w:cs="Arial"/>
          <w:b/>
          <w:sz w:val="52"/>
        </w:rPr>
      </w:pPr>
      <w:r>
        <w:rPr>
          <w:rFonts w:ascii="Arial" w:hAnsi="Arial" w:eastAsia="等线" w:cs="Arial"/>
          <w:b/>
          <w:sz w:val="52"/>
        </w:rPr>
        <w:t>漕河泾街道</w:t>
      </w:r>
    </w:p>
    <w:p>
      <w:pPr>
        <w:spacing w:before="480" w:after="480" w:line="288" w:lineRule="auto"/>
        <w:ind w:left="0"/>
        <w:jc w:val="center"/>
        <w:rPr>
          <w:rFonts w:ascii="Arial" w:hAnsi="Arial" w:eastAsia="等线" w:cs="Arial"/>
          <w:b/>
          <w:sz w:val="52"/>
        </w:rPr>
      </w:pPr>
      <w:r>
        <w:rPr>
          <w:rFonts w:ascii="Arial" w:hAnsi="Arial" w:eastAsia="等线" w:cs="Arial"/>
          <w:b/>
          <w:sz w:val="52"/>
        </w:rPr>
        <w:t>住宅小区2025年度分析报告</w:t>
      </w:r>
    </w:p>
    <w:p>
      <w:pPr>
        <w:spacing w:before="120" w:after="120" w:line="288" w:lineRule="auto"/>
        <w:ind w:left="0"/>
        <w:jc w:val="left"/>
      </w:pPr>
      <w:r>
        <w:rPr>
          <w:rFonts w:ascii="Arial" w:hAnsi="Arial" w:eastAsia="等线" w:cs="Arial"/>
          <w:sz w:val="22"/>
        </w:rPr>
        <w:t>本报告基于</w:t>
      </w:r>
      <w:r>
        <w:rPr>
          <w:rFonts w:hint="eastAsia" w:ascii="Arial" w:hAnsi="Arial" w:eastAsia="等线" w:cs="Arial"/>
          <w:sz w:val="22"/>
        </w:rPr>
        <w:t>市局十四类2024-2025年住宅小区12345投诉工单全量数据（其中漕河泾街道12345投诉</w:t>
      </w:r>
      <w:r>
        <w:rPr>
          <w:rFonts w:hint="eastAsia" w:ascii="Arial" w:hAnsi="Arial" w:eastAsia="等线" w:cs="Arial"/>
          <w:sz w:val="22"/>
          <w:lang w:val="en-US" w:eastAsia="zh-CN"/>
        </w:rPr>
        <w:t>全量</w:t>
      </w:r>
      <w:r>
        <w:rPr>
          <w:rFonts w:hint="eastAsia" w:ascii="Arial" w:hAnsi="Arial" w:eastAsia="等线" w:cs="Arial"/>
          <w:sz w:val="22"/>
        </w:rPr>
        <w:t>工单2024年3043条、2025年2538条，</w:t>
      </w:r>
      <w:r>
        <w:rPr>
          <w:rFonts w:hint="eastAsia" w:ascii="Arial" w:hAnsi="Arial" w:eastAsia="等线" w:cs="Arial"/>
          <w:sz w:val="22"/>
          <w:lang w:val="en-US" w:eastAsia="zh-CN"/>
        </w:rPr>
        <w:t>十四类核心工单2024年2474条、2025年2017条</w:t>
      </w:r>
      <w:r>
        <w:rPr>
          <w:rFonts w:hint="eastAsia" w:ascii="Arial" w:hAnsi="Arial" w:eastAsia="等线" w:cs="Arial"/>
          <w:sz w:val="22"/>
        </w:rPr>
        <w:t>）</w:t>
      </w:r>
      <w:r>
        <w:rPr>
          <w:rFonts w:ascii="Arial" w:hAnsi="Arial" w:eastAsia="等线" w:cs="Arial"/>
          <w:sz w:val="22"/>
        </w:rPr>
        <w:t>，重点聚焦2025年</w:t>
      </w:r>
      <w:r>
        <w:rPr>
          <w:rFonts w:hint="eastAsia" w:ascii="Arial" w:hAnsi="Arial" w:eastAsia="等线" w:cs="Arial"/>
          <w:sz w:val="22"/>
          <w:lang w:val="en-US" w:eastAsia="zh-CN"/>
        </w:rPr>
        <w:t>十四类</w:t>
      </w:r>
      <w:r>
        <w:rPr>
          <w:rFonts w:ascii="Arial" w:hAnsi="Arial" w:eastAsia="等线" w:cs="Arial"/>
          <w:sz w:val="22"/>
        </w:rPr>
        <w:t>工单数据，全面分析2025年住宅小区诉求特点、重点问题及管理现状，结合与2024年的同比数据提出针对性预防措施，为提升区域住宅小区管理服务质量、化解民生矛盾、构建宜居社区提供数据支撑和工作指引。</w:t>
      </w:r>
    </w:p>
    <w:p>
      <w:pPr>
        <w:spacing w:before="380" w:after="140" w:line="288" w:lineRule="auto"/>
        <w:ind w:left="0"/>
        <w:jc w:val="left"/>
        <w:outlineLvl w:val="0"/>
      </w:pPr>
      <w:bookmarkStart w:id="0" w:name="heading_0"/>
      <w:r>
        <w:rPr>
          <w:rFonts w:ascii="Arial" w:hAnsi="Arial" w:eastAsia="等线" w:cs="Arial"/>
          <w:b/>
          <w:sz w:val="36"/>
        </w:rPr>
        <w:t>一、12345诉求情况</w:t>
      </w:r>
      <w:bookmarkEnd w:id="0"/>
    </w:p>
    <w:p>
      <w:pPr>
        <w:spacing w:before="320" w:after="120" w:line="288" w:lineRule="auto"/>
        <w:ind w:left="0"/>
        <w:jc w:val="left"/>
        <w:outlineLvl w:val="1"/>
      </w:pPr>
      <w:bookmarkStart w:id="1" w:name="heading_1"/>
      <w:r>
        <w:rPr>
          <w:rFonts w:ascii="Arial" w:hAnsi="Arial" w:eastAsia="等线" w:cs="Arial"/>
          <w:b/>
          <w:sz w:val="32"/>
        </w:rPr>
        <w:t>1.1 总量趋势</w:t>
      </w:r>
      <w:bookmarkEnd w:id="1"/>
    </w:p>
    <w:p>
      <w:pPr>
        <w:spacing w:before="120" w:after="120" w:line="288" w:lineRule="auto"/>
        <w:ind w:left="0"/>
        <w:jc w:val="left"/>
      </w:pPr>
      <w:r>
        <w:rPr>
          <w:rFonts w:ascii="Arial" w:hAnsi="Arial" w:eastAsia="等线" w:cs="Arial"/>
          <w:sz w:val="22"/>
        </w:rPr>
        <w:t>2025年漕河泾街道住宅小区12345投诉工单共计2538条，较2024年（3043条）减少505条，降幅达16.60%，整体呈现明显下降态势，充分反映出区域内住宅小区管理服务质量持续提升，民生问题排查、响应及解决效率得到有效改善，未出现大规模诉求激增情况，辖区住宅小区管理整体态势趋于平稳，治理成效显著。</w:t>
      </w:r>
    </w:p>
    <w:p>
      <w:pPr>
        <w:spacing w:before="300" w:after="120" w:line="288" w:lineRule="auto"/>
        <w:ind w:left="0"/>
        <w:jc w:val="left"/>
        <w:outlineLvl w:val="2"/>
      </w:pPr>
      <w:bookmarkStart w:id="2" w:name="heading_2"/>
      <w:r>
        <w:rPr>
          <w:rFonts w:ascii="Arial" w:hAnsi="Arial" w:eastAsia="等线" w:cs="Arial"/>
          <w:b/>
          <w:sz w:val="30"/>
        </w:rPr>
        <w:t>1.1.1 月度工单量波动特征</w:t>
      </w:r>
      <w:bookmarkEnd w:id="2"/>
    </w:p>
    <w:tbl>
      <w:tblPr>
        <w:tblStyle w:val="2"/>
        <w:tblW w:w="8522"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7"/>
        <w:gridCol w:w="1500"/>
        <w:gridCol w:w="1447"/>
        <w:gridCol w:w="1324"/>
        <w:gridCol w:w="1734"/>
        <w:gridCol w:w="1730"/>
      </w:tblGrid>
      <w:tr>
        <w:trPr>
          <w:trHeight w:val="334" w:hRule="atLeast"/>
          <w:tblHeader/>
        </w:trPr>
        <w:tc>
          <w:tcPr>
            <w:tcW w:w="78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月份</w:t>
            </w:r>
          </w:p>
        </w:tc>
        <w:tc>
          <w:tcPr>
            <w:tcW w:w="1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44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32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c>
          <w:tcPr>
            <w:tcW w:w="173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-16.99</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53.76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97</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221</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-6.33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244</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-5.79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187</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235</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-3.40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147</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301</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194</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-35.55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295</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-28.81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204</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-25.27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139</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-37.05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271</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-3.32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-7.11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-22.38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130</w:t>
            </w:r>
          </w:p>
        </w:tc>
      </w:tr>
    </w:tbl>
    <w:p>
      <w:pPr>
        <w:spacing w:before="120" w:after="120" w:line="288" w:lineRule="auto"/>
        <w:ind w:left="0"/>
        <w:jc w:val="left"/>
        <w:rPr>
          <w:rFonts w:ascii="Arial" w:hAnsi="Arial" w:eastAsia="等线" w:cs="Arial"/>
          <w:sz w:val="22"/>
        </w:rPr>
      </w:pPr>
      <w:r>
        <w:rPr>
          <w:rFonts w:ascii="Arial" w:hAnsi="Arial" w:eastAsia="等线" w:cs="Arial"/>
          <w:sz w:val="22"/>
        </w:rPr>
        <w:t>从月度分布情况来看，2025年漕河泾街道住宅小区工单量呈现明显的季节性波动特征：仅2月工单量同比增长53.76%，是全年唯一同比上升的月份；</w:t>
      </w:r>
      <w:r>
        <w:rPr>
          <w:rFonts w:hint="eastAsia" w:ascii="Arial" w:hAnsi="Arial" w:eastAsia="等线" w:cs="Arial"/>
          <w:sz w:val="22"/>
          <w:lang w:val="en-US" w:eastAsia="zh-CN"/>
        </w:rPr>
        <w:t>其余</w:t>
      </w:r>
      <w:r>
        <w:rPr>
          <w:rFonts w:ascii="Arial" w:hAnsi="Arial" w:eastAsia="等线" w:cs="Arial"/>
          <w:sz w:val="22"/>
        </w:rPr>
        <w:t>月</w:t>
      </w:r>
      <w:r>
        <w:rPr>
          <w:rFonts w:hint="eastAsia" w:ascii="Arial" w:hAnsi="Arial" w:eastAsia="等线" w:cs="Arial"/>
          <w:sz w:val="22"/>
          <w:lang w:val="en-US" w:eastAsia="zh-CN"/>
        </w:rPr>
        <w:t>份</w:t>
      </w:r>
      <w:r>
        <w:rPr>
          <w:rFonts w:ascii="Arial" w:hAnsi="Arial" w:eastAsia="等线" w:cs="Arial"/>
          <w:sz w:val="22"/>
        </w:rPr>
        <w:t>同比均呈下降态势，其中9月、6月、7月、8月、12月降幅居前，分别达37.05%、35.55%、28.81%、25.27%、22.38%，10月、5月、4月、3月、11月同比降幅逐步收窄，整体未出现极端峰值，投诉诉求保持平稳波动态势。</w:t>
      </w:r>
    </w:p>
    <w:p>
      <w:pPr>
        <w:spacing w:before="120" w:after="120" w:line="288" w:lineRule="auto"/>
        <w:ind w:left="0"/>
        <w:jc w:val="left"/>
      </w:pPr>
      <w:r>
        <w:rPr>
          <w:rFonts w:ascii="Arial" w:hAnsi="Arial" w:eastAsia="等线" w:cs="Arial"/>
          <w:sz w:val="22"/>
        </w:rPr>
        <w:t>下图清晰呈现了2025年工单总量、月度趋势及与2024年的同比变化情况，直观反映出2025年诉求量的整体向好态势：</w:t>
      </w:r>
    </w:p>
    <w:p>
      <w:pPr>
        <w:spacing w:before="120" w:after="120" w:line="288" w:lineRule="auto"/>
        <w:ind w:left="0" w:leftChars="0" w:firstLine="0" w:firstLineChars="0"/>
        <w:jc w:val="center"/>
        <w:rPr>
          <w:rFonts w:ascii="Arial" w:hAnsi="Arial" w:eastAsia="等线" w:cs="Arial"/>
          <w:sz w:val="22"/>
        </w:rPr>
      </w:pPr>
      <w:r>
        <w:drawing>
          <wp:inline distT="0" distB="0" distL="114300" distR="114300">
            <wp:extent cx="5013325" cy="4631690"/>
            <wp:effectExtent l="0" t="0" r="15875" b="165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013325" cy="463169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注：柱状图分别展示2025年、2024年各月工单量，标注全年总量及同比降幅，同时突出2月同比增长、9月同比大幅下降等关键节点，清晰体现2025年整体大幅下降、月度平稳波动的特征，无极端峰值。</w:t>
      </w:r>
    </w:p>
    <w:p>
      <w:pPr>
        <w:spacing w:before="300" w:after="120" w:line="288" w:lineRule="auto"/>
        <w:ind w:left="0"/>
        <w:jc w:val="left"/>
        <w:outlineLvl w:val="2"/>
        <w:rPr>
          <w:rFonts w:ascii="Arial" w:hAnsi="Arial" w:eastAsia="等线" w:cs="Arial"/>
          <w:b/>
          <w:sz w:val="30"/>
        </w:rPr>
      </w:pPr>
      <w:bookmarkStart w:id="3" w:name="heading_3"/>
      <w:r>
        <w:rPr>
          <w:rFonts w:ascii="Arial" w:hAnsi="Arial" w:eastAsia="等线" w:cs="Arial"/>
          <w:b/>
          <w:sz w:val="30"/>
        </w:rPr>
        <w:t>1.1.2 上涨月份工单量上涨原因及核心诉求</w:t>
      </w:r>
      <w:bookmarkEnd w:id="3"/>
    </w:p>
    <w:p>
      <w:pPr>
        <w:spacing w:before="120" w:after="120" w:line="288" w:lineRule="auto"/>
        <w:ind w:left="0"/>
        <w:jc w:val="left"/>
      </w:pPr>
      <w:r>
        <w:rPr>
          <w:rFonts w:ascii="Arial" w:hAnsi="Arial" w:eastAsia="等线" w:cs="Arial"/>
          <w:sz w:val="22"/>
        </w:rPr>
        <w:t>结合2025年各同比上涨月份工单数据，重点分析涨幅显著、诉求集中的月份，明确核心诉求及上涨成因，具体如下：</w:t>
      </w:r>
    </w:p>
    <w:p>
      <w:pPr>
        <w:spacing w:before="120" w:after="120" w:line="288" w:lineRule="auto"/>
        <w:ind w:left="0"/>
        <w:jc w:val="left"/>
        <w:rPr>
          <w:rFonts w:ascii="Arial" w:hAnsi="Arial" w:eastAsia="等线" w:cs="Arial"/>
          <w:sz w:val="22"/>
        </w:rPr>
      </w:pPr>
      <w:r>
        <w:rPr>
          <w:rFonts w:ascii="Arial" w:hAnsi="Arial" w:eastAsia="等线" w:cs="Arial"/>
          <w:b/>
          <w:bCs/>
          <w:sz w:val="22"/>
        </w:rPr>
        <w:t>2月核心诉求及工单量上涨原因：</w:t>
      </w:r>
      <w:r>
        <w:rPr>
          <w:rFonts w:ascii="Arial" w:hAnsi="Arial" w:eastAsia="等线" w:cs="Arial"/>
          <w:sz w:val="22"/>
        </w:rPr>
        <w:t>2025年2月投诉工单共计143件，较2024年同期（93件）增加50件，同比增长53.76%。该月核心诉求主要聚焦于停车管理、房屋维修及群租管理相关领域，主要投诉类型TOP3依次为：停车管理（29件，占比20.28%）、房屋维修（18件，占比12.59%）、群租管理（11件，占比7.69%）。</w:t>
      </w:r>
    </w:p>
    <w:p>
      <w:pPr>
        <w:spacing w:before="120" w:after="120" w:line="288" w:lineRule="auto"/>
        <w:ind w:left="0"/>
        <w:jc w:val="left"/>
        <w:rPr>
          <w:rFonts w:ascii="Arial" w:hAnsi="Arial" w:eastAsia="等线" w:cs="Arial"/>
          <w:b/>
          <w:bCs/>
          <w:sz w:val="22"/>
        </w:rPr>
      </w:pPr>
      <w:r>
        <w:rPr>
          <w:rFonts w:ascii="Arial" w:hAnsi="Arial" w:eastAsia="等线" w:cs="Arial"/>
          <w:b/>
          <w:bCs/>
          <w:sz w:val="22"/>
        </w:rPr>
        <w:t>2月工单量同比上涨，主要源于三方面因素：</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春节假期前后，居民居家时间延长，对小区停车秩序、房屋设施完好度及居住安全性的关注度显著提升，相关诉求同步增加；</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冬季低温天气导致小区给排水管道堵塞、供暖相关设施故障等问题频发，房屋维修类诉求小幅攀升，同时低温环境下部分群租房屋违规使用取暖设备、私拉电线等情况突出，引发安全隐患相关投诉；</w:t>
      </w:r>
    </w:p>
    <w:p>
      <w:pPr>
        <w:spacing w:before="120" w:after="120" w:line="288" w:lineRule="auto"/>
        <w:ind w:left="0"/>
        <w:jc w:val="left"/>
      </w:pPr>
      <w:r>
        <w:rPr>
          <w:rFonts w:ascii="Arial" w:hAnsi="Arial" w:eastAsia="等线" w:cs="Arial"/>
          <w:b/>
          <w:bCs/>
          <w:sz w:val="22"/>
        </w:rPr>
        <w:t>三是</w:t>
      </w:r>
      <w:r>
        <w:rPr>
          <w:rFonts w:ascii="Arial" w:hAnsi="Arial" w:eastAsia="等线" w:cs="Arial"/>
          <w:sz w:val="22"/>
        </w:rPr>
        <w:t>春节期间小区外来访客车辆增多，停车秩序混乱，违规停车、车位占用等相关投诉大幅增加，叠加部分群租房屋节前集中整改诉求，共同推高了当月工单总量。</w:t>
      </w:r>
    </w:p>
    <w:p>
      <w:pPr>
        <w:spacing w:before="300" w:after="120" w:line="288" w:lineRule="auto"/>
        <w:ind w:left="0"/>
        <w:jc w:val="left"/>
        <w:outlineLvl w:val="2"/>
      </w:pPr>
      <w:bookmarkStart w:id="4" w:name="heading_4"/>
      <w:r>
        <w:rPr>
          <w:rFonts w:ascii="Arial" w:hAnsi="Arial" w:eastAsia="等线" w:cs="Arial"/>
          <w:b/>
          <w:sz w:val="30"/>
        </w:rPr>
        <w:t>1.1.3 月度趋势总结</w:t>
      </w:r>
      <w:bookmarkEnd w:id="4"/>
    </w:p>
    <w:p>
      <w:pPr>
        <w:spacing w:before="120" w:after="120" w:line="288" w:lineRule="auto"/>
        <w:ind w:left="0"/>
        <w:jc w:val="left"/>
        <w:rPr>
          <w:rFonts w:ascii="Arial" w:hAnsi="Arial" w:eastAsia="等线" w:cs="Arial"/>
          <w:sz w:val="22"/>
        </w:rPr>
      </w:pPr>
      <w:r>
        <w:rPr>
          <w:rFonts w:hint="eastAsia" w:ascii="Arial" w:hAnsi="Arial" w:eastAsia="等线" w:cs="Arial"/>
          <w:sz w:val="22"/>
        </w:rPr>
        <w:t>值得关注的是，2025年工单量呈现“上半年有波动、下半年持续回落”的整体态势，1-6月工单量合计1186条，7-12月工单量合计1352条，下半年虽总量略高，但同比降幅更为显著，这一变化符合冬季、夏季居民居家时间长、诉求集中的季节性规律。同时，投诉热点呈现明显的季节性转移特征，结合各月份核心诉求来看，转移轨迹清晰可辨：2月聚焦停车管理、房屋维修及群租管理，核心与冬季居家、春节相关；3-5月诉求以房屋维修、停车管理为主，无明显单一集中热点；6-9月因高温天气及装修相关需求，停车管理、房屋维修类诉求相对突出；10-12月随着气温下降及年底装修收尾，房屋违规使用、停车管理类诉求有所上升，核心诉求随季节变化、居民生活节奏调整呈现鲜明的阶段性聚焦特点。</w:t>
      </w:r>
    </w:p>
    <w:p>
      <w:pPr>
        <w:spacing w:before="320" w:after="120" w:line="288" w:lineRule="auto"/>
        <w:ind w:left="0"/>
        <w:jc w:val="left"/>
        <w:outlineLvl w:val="1"/>
      </w:pPr>
      <w:bookmarkStart w:id="5" w:name="heading_6"/>
      <w:r>
        <w:rPr>
          <w:rFonts w:ascii="Arial" w:hAnsi="Arial" w:eastAsia="等线" w:cs="Arial"/>
          <w:b/>
          <w:sz w:val="32"/>
        </w:rPr>
        <w:t>1.2 诉求类型分析</w:t>
      </w:r>
      <w:bookmarkEnd w:id="5"/>
    </w:p>
    <w:tbl>
      <w:tblPr>
        <w:tblStyle w:val="2"/>
        <w:tblW w:w="8542"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2"/>
        <w:gridCol w:w="2478"/>
        <w:gridCol w:w="1607"/>
        <w:gridCol w:w="1830"/>
        <w:gridCol w:w="1925"/>
      </w:tblGrid>
      <w:tr>
        <w:trPr>
          <w:trHeight w:val="334"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停车管理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-12.60</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房屋维修</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347</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-23.34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-16.17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197</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-34.55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-28.57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-14.52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138</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-18.34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-27.71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-9.00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-30.77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43</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67.44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47</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68</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44.68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83</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-19.28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20.00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2025年住宅小区投诉涵盖14个核心类型（按统一分类标准统计），诉求分布呈现“核心集中、次要分散”的特点，核心诉求主要集中在五大领域，具体结合同比数据分析如下</w:t>
      </w:r>
      <w:bookmarkStart w:id="30" w:name="_GoBack"/>
      <w:bookmarkEnd w:id="30"/>
      <w:r>
        <w:rPr>
          <w:rFonts w:ascii="Arial" w:hAnsi="Arial" w:eastAsia="等线" w:cs="Arial"/>
          <w:sz w:val="22"/>
        </w:rPr>
        <w:t>：</w:t>
      </w:r>
    </w:p>
    <w:p>
      <w:pPr>
        <w:numPr>
          <w:ilvl w:val="0"/>
          <w:numId w:val="1"/>
        </w:numPr>
        <w:spacing w:before="120" w:after="120" w:line="288" w:lineRule="auto"/>
        <w:ind w:left="0"/>
        <w:jc w:val="left"/>
      </w:pPr>
      <w:r>
        <w:rPr>
          <w:rFonts w:ascii="Arial" w:hAnsi="Arial" w:eastAsia="等线" w:cs="Arial"/>
          <w:sz w:val="22"/>
        </w:rPr>
        <w:t>停车管理：以319条工单位居2025年诉求首位，占全年总量的12.57%，较2024年（365条）减少46条，同比降幅12.60%，诉求量稳步回落，但仍是最突出的民生诉求；</w:t>
      </w:r>
    </w:p>
    <w:p>
      <w:pPr>
        <w:numPr>
          <w:ilvl w:val="0"/>
          <w:numId w:val="2"/>
        </w:numPr>
        <w:spacing w:before="120" w:after="120" w:line="288" w:lineRule="auto"/>
        <w:ind w:left="0"/>
        <w:jc w:val="left"/>
      </w:pPr>
      <w:r>
        <w:rPr>
          <w:rFonts w:ascii="Arial" w:hAnsi="Arial" w:eastAsia="等线" w:cs="Arial"/>
          <w:sz w:val="22"/>
        </w:rPr>
        <w:t>房屋维修：266条，占2025年总量的10.48%，较2024年（347条）减少81条，同比降幅23.34%，整体诉求量下降明显，管控成效突出；</w:t>
      </w:r>
    </w:p>
    <w:p>
      <w:pPr>
        <w:numPr>
          <w:ilvl w:val="0"/>
          <w:numId w:val="3"/>
        </w:numPr>
        <w:spacing w:before="120" w:after="120" w:line="288" w:lineRule="auto"/>
        <w:ind w:left="0"/>
        <w:jc w:val="left"/>
      </w:pPr>
      <w:r>
        <w:rPr>
          <w:rFonts w:ascii="Arial" w:hAnsi="Arial" w:eastAsia="等线" w:cs="Arial"/>
          <w:sz w:val="22"/>
        </w:rPr>
        <w:t>邻里纠纷：223条，占2025年总量的8.79%，较2024年（266条）减少43条，同比降幅16.17%，整体诉求量小幅下降，但仍是高频核心诉求类型；</w:t>
      </w:r>
    </w:p>
    <w:p>
      <w:pPr>
        <w:numPr>
          <w:ilvl w:val="0"/>
          <w:numId w:val="4"/>
        </w:numPr>
        <w:spacing w:before="120" w:after="120" w:line="288" w:lineRule="auto"/>
        <w:ind w:left="0"/>
        <w:jc w:val="left"/>
      </w:pPr>
      <w:r>
        <w:rPr>
          <w:rFonts w:ascii="Arial" w:hAnsi="Arial" w:eastAsia="等线" w:cs="Arial"/>
          <w:sz w:val="22"/>
        </w:rPr>
        <w:t>业主大会/业委会：197条，占2025年总量的7.76%，较2024年（301条）减少104条，同比降幅34.55%，诉求量大幅下降，治理成效显著；</w:t>
      </w:r>
    </w:p>
    <w:p>
      <w:pPr>
        <w:numPr>
          <w:ilvl w:val="0"/>
          <w:numId w:val="5"/>
        </w:numPr>
        <w:spacing w:before="120" w:after="120" w:line="288" w:lineRule="auto"/>
        <w:ind w:left="0"/>
        <w:jc w:val="left"/>
      </w:pPr>
      <w:r>
        <w:rPr>
          <w:rFonts w:ascii="Arial" w:hAnsi="Arial" w:eastAsia="等线" w:cs="Arial"/>
          <w:sz w:val="22"/>
        </w:rPr>
        <w:t>房屋违规使用：190条，占2025年总量的7.49%，较2024年（266条）减少76条，同比降幅28.57%，整体管控成效初显，诉求量大幅回落。</w:t>
      </w:r>
    </w:p>
    <w:p>
      <w:pPr>
        <w:spacing w:before="120" w:after="120" w:line="288" w:lineRule="auto"/>
        <w:ind w:left="0"/>
        <w:jc w:val="left"/>
        <w:rPr>
          <w:rFonts w:ascii="Arial" w:hAnsi="Arial" w:eastAsia="等线" w:cs="Arial"/>
          <w:sz w:val="22"/>
        </w:rPr>
      </w:pPr>
      <w:r>
        <w:rPr>
          <w:rFonts w:ascii="Arial" w:hAnsi="Arial" w:eastAsia="等线" w:cs="Arial"/>
          <w:sz w:val="22"/>
        </w:rPr>
        <w:t>此外，2025年多个次要诉求类型呈现明显波动：服务态度诉求达72条，较2024年（43条）增加29条，同比增幅67.44%；物业收费诉求达68条，较2024年（47条）增加21条，同比增幅44.68%，两类诉求均从次要诉求升级为重点关注的新兴诉求类型；物业安保（91条，同比-9.00%）、群租管理（120条，同比-27.71%）、旧住房改造（159条，同比-14.52%）、消防管理（138条，同比-18.34%）、清洁卫生（90条，同比-30.77%）、绿化管理（67条，同比-19.28%）等诉求量均实现同比下降，整体态势良好。</w:t>
      </w:r>
    </w:p>
    <w:p>
      <w:pPr>
        <w:spacing w:before="120" w:after="120" w:line="288" w:lineRule="auto"/>
        <w:ind w:left="0"/>
        <w:jc w:val="left"/>
      </w:pPr>
      <w:r>
        <w:rPr>
          <w:rFonts w:ascii="Arial" w:hAnsi="Arial" w:eastAsia="等线" w:cs="Arial"/>
          <w:sz w:val="22"/>
        </w:rPr>
        <w:t>同时，剔除类诉求呈现大幅下降态势，剔除-商办楼宇（48条，同比-57.89%）、剔除-三大类（59条，同比-79.86%）、剔除-非物业管理区域（4条，同比-95.00%）、剔除-无效工单（12条，同比-64.71%）等非住宅核心诉求工单量均大幅下降，说明2025年投诉工单的精准度显著提升，业主诉求更聚焦于住宅小区物业管理核心范畴。</w:t>
      </w:r>
    </w:p>
    <w:p>
      <w:pPr>
        <w:spacing w:before="120" w:after="120" w:line="288" w:lineRule="auto"/>
        <w:ind w:left="0"/>
        <w:jc w:val="left"/>
      </w:pPr>
      <w:r>
        <w:rPr>
          <w:rFonts w:ascii="Arial" w:hAnsi="Arial" w:eastAsia="等线" w:cs="Arial"/>
          <w:sz w:val="22"/>
        </w:rPr>
        <w:t>下图为2025年Top10投诉类型分布、占比及与2024年的同比变化情况，清晰呈现2025年各类诉求的核心特征：</w:t>
      </w:r>
    </w:p>
    <w:p>
      <w:pPr>
        <w:spacing w:before="120" w:after="120" w:line="288" w:lineRule="auto"/>
        <w:ind w:left="0" w:leftChars="0" w:firstLine="0" w:firstLineChars="0"/>
        <w:jc w:val="center"/>
      </w:pPr>
      <w:r>
        <w:drawing>
          <wp:inline distT="0" distB="0" distL="114300" distR="114300">
            <wp:extent cx="5052695" cy="4668520"/>
            <wp:effectExtent l="0" t="0" r="190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052695" cy="466852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注：双柱状图对比2024-2025年Top10诉求工单量，折线图展示2025年各类型占比，重点标注核心同比增幅，同时涵盖新增的高增幅次要诉求（服务态度、物业收费）提示，凸显“核心集中、次要分散”特点。</w:t>
      </w:r>
    </w:p>
    <w:p>
      <w:pPr>
        <w:spacing w:before="320" w:after="120" w:line="288" w:lineRule="auto"/>
        <w:ind w:left="0"/>
        <w:jc w:val="left"/>
        <w:outlineLvl w:val="1"/>
      </w:pPr>
      <w:bookmarkStart w:id="6" w:name="heading_7"/>
      <w:r>
        <w:rPr>
          <w:rFonts w:ascii="Arial" w:hAnsi="Arial" w:eastAsia="等线" w:cs="Arial"/>
          <w:b/>
          <w:sz w:val="32"/>
        </w:rPr>
        <w:t>1.3 小区情况分析</w:t>
      </w:r>
      <w:bookmarkEnd w:id="6"/>
    </w:p>
    <w:p>
      <w:pPr>
        <w:spacing w:before="300" w:after="120" w:line="288" w:lineRule="auto"/>
        <w:ind w:left="0"/>
        <w:jc w:val="left"/>
        <w:outlineLvl w:val="2"/>
      </w:pPr>
      <w:bookmarkStart w:id="7" w:name="heading_8"/>
      <w:r>
        <w:rPr>
          <w:rFonts w:ascii="Arial" w:hAnsi="Arial" w:eastAsia="等线" w:cs="Arial"/>
          <w:b/>
          <w:sz w:val="30"/>
        </w:rPr>
        <w:t>1.3.1 小区工单量排名及核心原因</w:t>
      </w:r>
      <w:bookmarkEnd w:id="7"/>
    </w:p>
    <w:tbl>
      <w:tblPr>
        <w:tblStyle w:val="2"/>
        <w:tblW w:w="6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5"/>
        <w:gridCol w:w="1511"/>
        <w:gridCol w:w="1702"/>
        <w:gridCol w:w="1681"/>
        <w:gridCol w:w="1287"/>
      </w:tblGrid>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绿邑翠苑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106</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377</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三江小区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95</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1273</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石龙路33弄</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178</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913</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漕冠小区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1057</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东泉小区（东块）</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929</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金牛苑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696</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馨汇南苑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1434</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金谷园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900</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东泉小区（西块）</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59</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54</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965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东荡小区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377</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工单量来看，2025年投诉量排名前五的小区依次为：绿邑翠苑（106条）、三江小区（95条）、石龙路33弄（82条）、漕冠小区（65条）、金牛苑（63条），其中绿邑翠苑工单量占全年总量的4.18%，较2024年（48条）大幅增长120.83%，成为工单量最高的小区，问题集中性较为突出；三江小区2024年工单量为170条，2025年降至95条，同比下降44.12%，石龙路33弄2024年工单量为178条，2025年降至82条，同比下降53.93%，两者均呈现显著下降态势，传统高诉求小区管理成效明显；金牛苑2024年工单量为33条，2025年增至63条，同比增长90.91%，馨汇南苑2024年工单量为36条，2025年增至59条，同比增长63.89%，两者均呈现大幅增长态势，成为新增热点小区，是2025年小区管理的重点关注区域。</w:t>
      </w:r>
    </w:p>
    <w:p>
      <w:pPr>
        <w:spacing w:before="300" w:after="120" w:line="288" w:lineRule="auto"/>
        <w:ind w:left="0"/>
        <w:jc w:val="left"/>
        <w:outlineLvl w:val="2"/>
      </w:pPr>
      <w:bookmarkStart w:id="8" w:name="heading_9"/>
      <w:r>
        <w:rPr>
          <w:rFonts w:ascii="Arial" w:hAnsi="Arial" w:eastAsia="等线" w:cs="Arial"/>
          <w:b/>
          <w:sz w:val="30"/>
        </w:rPr>
        <w:t>1.3.2 小区投诉密度及核心原因</w:t>
      </w:r>
      <w:bookmarkEnd w:id="8"/>
    </w:p>
    <w:tbl>
      <w:tblPr>
        <w:tblStyle w:val="2"/>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color w:val="000000"/>
                <w:sz w:val="22"/>
              </w:rPr>
            </w:pPr>
            <w:r>
              <w:rPr>
                <w:rFonts w:hint="eastAsia" w:ascii="等线" w:hAnsi="等线" w:eastAsia="等线" w:cs="等线"/>
                <w:b/>
                <w:bCs/>
                <w:color w:val="000000"/>
                <w:sz w:val="22"/>
              </w:rPr>
              <w:t>投诉密度</w:t>
            </w:r>
          </w:p>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绿邑翠苑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377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28.12</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漕溪四村双号</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12.50</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上海望族城</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442</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11.31</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宜仕怡家</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473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10.99</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金牛苑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63</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696</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9.05</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石龙路33弄</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8.98</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三江小区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95</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1273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7.46</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东泉小区（东块）</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929</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6.89</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漕冠小区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1057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6.15</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金谷园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900</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6.11</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hint="eastAsia" w:ascii="Arial" w:hAnsi="Arial" w:eastAsia="等线" w:cs="Arial"/>
          <w:sz w:val="22"/>
        </w:rPr>
        <w:t>从投诉密度来看，结合漕河泾街道各住宅小区2025年工单数及服务户数精准计算，各小区投诉密度差异明显，具体分布如下：密度最高的为绿邑翠苑，其次是漕溪四村双号、上海望族城、宜仕怡家，金牛苑、石龙路33弄紧随其后；中等密度小区包括三江小区、东泉小区（东块）、漕冠小区、金谷园。其中，绿邑翠苑投诉密度远超其他小区，漕溪四村双号、上海望族城、宜仕怡家密度也处于较高水平，这四个小区不仅部分工单量位居前列，投诉密度也显著偏高，反映出其2025年管理服务存在明显短板；中等密度小区整体管理压力相对均衡，核心诉求虽有集中，但未出现极端突出问题。</w:t>
      </w:r>
    </w:p>
    <w:p>
      <w:pPr>
        <w:spacing w:before="300" w:after="120" w:line="288" w:lineRule="auto"/>
        <w:ind w:left="0"/>
        <w:jc w:val="left"/>
        <w:outlineLvl w:val="2"/>
      </w:pPr>
      <w:bookmarkStart w:id="9" w:name="heading_10"/>
      <w:r>
        <w:rPr>
          <w:rFonts w:ascii="Arial" w:hAnsi="Arial" w:eastAsia="等线" w:cs="Arial"/>
          <w:b/>
          <w:sz w:val="30"/>
        </w:rPr>
        <w:t>1.3.3 新建楼盘专项投诉分析</w:t>
      </w:r>
      <w:bookmarkEnd w:id="9"/>
    </w:p>
    <w:p>
      <w:pPr>
        <w:spacing w:before="120" w:after="120" w:line="288" w:lineRule="auto"/>
        <w:ind w:left="0"/>
        <w:jc w:val="left"/>
      </w:pPr>
      <w:r>
        <w:rPr>
          <w:rFonts w:hint="eastAsia" w:ascii="Arial" w:hAnsi="Arial" w:eastAsia="等线" w:cs="Arial"/>
          <w:sz w:val="22"/>
        </w:rPr>
        <w:t>结合玖珑庭两年投诉数据，专项剖析新建楼盘投诉特征及成因，为后续管理提供指引：玖珑庭投诉量呈现爆发式增长态势，2024年仅3条投诉，2025年激增至74条，总投诉数达77条，投诉量大幅攀升，反映出新建小区入住后各类民生矛盾逐步凸显，管控压力显著增加；诉求类型贴合新建小区交付及入住周期特点，2024年重点为服务态度（1件）、房屋建设质量和开发商（1件）、邻里纠纷（1件）等交付初期零星问题，诉求较为分散，2025年则集中爆发为房屋违规使用（44件）、邻里纠纷（8件）、房屋建设质量和开发商（4件），其中房屋违规使用类诉求占2025年该小区总投诉量的59.46%，成为核心突出问题；核心成因主要为玖珑庭作为新建小区，物业对入住后各类诉求的处置经验不足、响应效能不够，小区存在房屋建设质量隐患及违规使用乱象，加之新建楼盘业主维权意识强、对居住品质和权益保障诉求集中，各类矛盾未能及时化解，导致2025年投诉量爆发式增长。</w:t>
      </w:r>
    </w:p>
    <w:p>
      <w:pPr>
        <w:spacing w:before="320" w:after="120" w:line="288" w:lineRule="auto"/>
        <w:ind w:left="0"/>
        <w:jc w:val="left"/>
        <w:outlineLvl w:val="1"/>
      </w:pPr>
      <w:bookmarkStart w:id="10" w:name="heading_12"/>
      <w:r>
        <w:rPr>
          <w:rFonts w:ascii="Arial" w:hAnsi="Arial" w:eastAsia="等线" w:cs="Arial"/>
          <w:b/>
          <w:sz w:val="32"/>
        </w:rPr>
        <w:t>1.4 企业情况分析</w:t>
      </w:r>
      <w:bookmarkEnd w:id="10"/>
    </w:p>
    <w:p>
      <w:pPr>
        <w:spacing w:before="120" w:after="120" w:line="288" w:lineRule="auto"/>
        <w:ind w:left="0"/>
        <w:jc w:val="left"/>
      </w:pPr>
      <w:r>
        <w:rPr>
          <w:rFonts w:ascii="Arial" w:hAnsi="Arial" w:eastAsia="等线" w:cs="Arial"/>
          <w:sz w:val="22"/>
        </w:rPr>
        <w:t>2025年辖区内涉事物业公司多家，各企业服务质量分化明显，工单量分布呈现“规模型企业集中、小型企业分散”的态势，重点结合2025年数据及简要同比情况分析如下：</w:t>
      </w:r>
    </w:p>
    <w:p>
      <w:pPr>
        <w:spacing w:before="300" w:after="120" w:line="288" w:lineRule="auto"/>
        <w:ind w:left="0"/>
        <w:jc w:val="left"/>
        <w:outlineLvl w:val="2"/>
      </w:pPr>
      <w:bookmarkStart w:id="11" w:name="heading_13"/>
      <w:r>
        <w:rPr>
          <w:rFonts w:ascii="Arial" w:hAnsi="Arial" w:eastAsia="等线" w:cs="Arial"/>
          <w:b/>
          <w:sz w:val="30"/>
        </w:rPr>
        <w:t>1.4.1 物业公司工单量排名</w:t>
      </w:r>
      <w:bookmarkEnd w:id="11"/>
    </w:p>
    <w:p>
      <w:pPr>
        <w:spacing w:before="120" w:after="120" w:line="288" w:lineRule="auto"/>
        <w:ind w:left="0"/>
        <w:jc w:val="left"/>
        <w:rPr>
          <w:rFonts w:ascii="Arial" w:hAnsi="Arial" w:eastAsia="等线" w:cs="Arial"/>
          <w:sz w:val="22"/>
        </w:rPr>
      </w:pPr>
      <w:r>
        <w:rPr>
          <w:rFonts w:ascii="Arial" w:hAnsi="Arial" w:eastAsia="等线" w:cs="Arial"/>
          <w:sz w:val="22"/>
        </w:rPr>
        <w:t>2025年工单量排名前五的物业公司依次为：上海徐房物业有限公司（378条）、上海中海物业管理有限公司（184条）、上海旭程物业管理有限公司（208条）、上海益镇物业管理有限公司（130条）、上海润美物业管理有限公司（109条）。结合全年2538条总工单量计算，上海徐房物业有限公司工单量占比最高（14.89%），远超其他物业公司，服务压力相对集中；上海旭程物业管理有限公司、上海中海物业管理有限公司、上海益镇物业管理有限公司、上海润美物业管理有限公司工单量均在109-208条之间，整体分布较均衡，服务压力相对适中。</w:t>
      </w:r>
    </w:p>
    <w:p>
      <w:pPr>
        <w:spacing w:before="120" w:after="120" w:line="288" w:lineRule="auto"/>
        <w:ind w:left="0"/>
        <w:jc w:val="left"/>
        <w:rPr>
          <w:rFonts w:ascii="Arial" w:hAnsi="Arial" w:eastAsia="等线" w:cs="Arial"/>
          <w:sz w:val="22"/>
        </w:rPr>
      </w:pPr>
      <w:r>
        <w:rPr>
          <w:rFonts w:ascii="Arial" w:hAnsi="Arial" w:eastAsia="等线" w:cs="Arial"/>
          <w:sz w:val="22"/>
        </w:rPr>
        <w:t>下图为2025年物业公司维度工单量排名情况（选取工单量前5家企业），清晰呈现各企业2025年的服务压力及管理规模差异：</w:t>
      </w:r>
    </w:p>
    <w:p>
      <w:pPr>
        <w:spacing w:before="120" w:after="120" w:line="288" w:lineRule="auto"/>
        <w:ind w:left="0"/>
        <w:jc w:val="left"/>
      </w:pPr>
      <w:r>
        <w:drawing>
          <wp:inline distT="0" distB="0" distL="114300" distR="114300">
            <wp:extent cx="4925060" cy="4207510"/>
            <wp:effectExtent l="0" t="0" r="2540" b="889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4925060" cy="420751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注：柱状图展示Top5物业公司工单总量，折线图展示对应企业平均每小区工单量；特别标注上海徐房物业有限公司核心数据，凸显其服务规模优势，清晰体现不同规模物业公司的服务压力分化态势。</w:t>
      </w:r>
    </w:p>
    <w:p>
      <w:pPr>
        <w:spacing w:before="300" w:after="120" w:line="288" w:lineRule="auto"/>
        <w:ind w:left="0"/>
        <w:jc w:val="left"/>
        <w:outlineLvl w:val="2"/>
      </w:pPr>
      <w:bookmarkStart w:id="12" w:name="heading_14"/>
      <w:r>
        <w:rPr>
          <w:rFonts w:ascii="Arial" w:hAnsi="Arial" w:eastAsia="等线" w:cs="Arial"/>
          <w:b/>
          <w:sz w:val="30"/>
        </w:rPr>
        <w:t>1.4.2 不同规模物业公司服务效能分类分析</w:t>
      </w:r>
      <w:bookmarkEnd w:id="12"/>
    </w:p>
    <w:p>
      <w:pPr>
        <w:spacing w:before="120" w:after="120" w:line="288" w:lineRule="auto"/>
        <w:ind w:left="0"/>
        <w:jc w:val="left"/>
        <w:rPr>
          <w:rFonts w:ascii="Arial" w:hAnsi="Arial" w:eastAsia="等线" w:cs="Arial"/>
          <w:sz w:val="22"/>
        </w:rPr>
      </w:pPr>
      <w:r>
        <w:rPr>
          <w:rFonts w:ascii="Arial" w:hAnsi="Arial" w:eastAsia="等线" w:cs="Arial"/>
          <w:sz w:val="22"/>
        </w:rPr>
        <w:t>从服务效能来看，结合各物业公司服务小区数及工单量，2025年不同管理规模的物业公司呈现明显差异，核心分为三类：</w:t>
      </w:r>
    </w:p>
    <w:p>
      <w:pPr>
        <w:spacing w:before="120" w:after="120" w:line="288" w:lineRule="auto"/>
        <w:ind w:left="0"/>
        <w:jc w:val="left"/>
        <w:rPr>
          <w:rFonts w:ascii="Arial" w:hAnsi="Arial" w:eastAsia="等线" w:cs="Arial"/>
          <w:sz w:val="22"/>
        </w:rPr>
      </w:pPr>
      <w:r>
        <w:rPr>
          <w:rFonts w:ascii="Arial" w:hAnsi="Arial" w:eastAsia="等线" w:cs="Arial"/>
          <w:sz w:val="22"/>
        </w:rPr>
        <w:t>一是多小区规模化管理企业，以上海徐房物业有限公司（服务22个小区、工单378条）为代表，平均每小区工单量17.18条，管理覆盖面广，服务效能相对突出，虽工单总量高，但因服务小区多，单小区压力相对适中；</w:t>
      </w:r>
    </w:p>
    <w:p>
      <w:pPr>
        <w:spacing w:before="120" w:after="120" w:line="288" w:lineRule="auto"/>
        <w:ind w:left="0"/>
        <w:jc w:val="left"/>
        <w:rPr>
          <w:rFonts w:ascii="Arial" w:hAnsi="Arial" w:eastAsia="等线" w:cs="Arial"/>
          <w:sz w:val="22"/>
        </w:rPr>
      </w:pPr>
      <w:r>
        <w:rPr>
          <w:rFonts w:ascii="Arial" w:hAnsi="Arial" w:eastAsia="等线" w:cs="Arial"/>
          <w:sz w:val="22"/>
        </w:rPr>
        <w:t>二是中等规模管理企业，以上海旭程物业管理有限公司（服务10个小区、工单208条）、上海益镇物业管理有限公司（服务5个小区、工单130条）为代表，平均每小区工单量分别为20.80条、26.00条，服务压力适中，整体管理规范，但单小区服务效能仍有提升空间；</w:t>
      </w:r>
    </w:p>
    <w:p>
      <w:pPr>
        <w:spacing w:before="120" w:after="120" w:line="288" w:lineRule="auto"/>
        <w:ind w:left="0"/>
        <w:jc w:val="left"/>
      </w:pPr>
      <w:r>
        <w:rPr>
          <w:rFonts w:ascii="Arial" w:hAnsi="Arial" w:eastAsia="等线" w:cs="Arial"/>
          <w:sz w:val="22"/>
        </w:rPr>
        <w:t>三是小规模/单一聚焦管理企业，以上海中海物业管理有限公司（服务3个小区、工单184条）、上海润美物业管理有限公司（服务3个小区、工单109条）为代表，平均每小区工单量分别为61.33条、36.33条，工单集中，服务压力较大，2025年服务质量仍有待提升。</w:t>
      </w:r>
    </w:p>
    <w:p>
      <w:pPr>
        <w:spacing w:before="300" w:after="120" w:line="288" w:lineRule="auto"/>
        <w:ind w:left="0"/>
        <w:jc w:val="left"/>
        <w:outlineLvl w:val="2"/>
      </w:pPr>
      <w:bookmarkStart w:id="13" w:name="heading_15"/>
      <w:r>
        <w:rPr>
          <w:rFonts w:ascii="Arial" w:hAnsi="Arial" w:eastAsia="等线" w:cs="Arial"/>
          <w:b/>
          <w:sz w:val="30"/>
        </w:rPr>
        <w:t>1.4.3 物业公司服务质量整体总结</w:t>
      </w:r>
      <w:bookmarkEnd w:id="13"/>
    </w:p>
    <w:p>
      <w:pPr>
        <w:spacing w:before="120" w:after="120" w:line="288" w:lineRule="auto"/>
        <w:ind w:left="0"/>
        <w:jc w:val="left"/>
      </w:pPr>
      <w:r>
        <w:rPr>
          <w:rFonts w:ascii="Arial" w:hAnsi="Arial" w:eastAsia="等线" w:cs="Arial"/>
          <w:sz w:val="22"/>
        </w:rPr>
        <w:t>整体而言，2025年漕河泾街道涉事物业公司服务质量分化明显：服务小区数越多的规模化企业，投诉分布相对分散，服务规范性和效能整体更强，尤其是上海徐房物业有限公司，凭借22个小区的广泛覆盖和17.18条的单小区平均工单量，展现出较强的管理能力；服务小区数较少（≤3个）的企业，易出现工单集中、服务响应不及时等问题，服务压力相对较大，单小区平均工单量显著偏高；中等规模企业整体表现平稳，介于两者之间。总体来看，辖区内物业公司行业规范化程度和服务质量仍有较大提升空间，需重点关注小规模企业的服务优化，同时督促规模化企业进一步提升单小区服务精细化水平。</w:t>
      </w:r>
    </w:p>
    <w:p>
      <w:pPr>
        <w:spacing w:before="380" w:after="140" w:line="288" w:lineRule="auto"/>
        <w:ind w:left="0"/>
        <w:jc w:val="left"/>
        <w:outlineLvl w:val="0"/>
      </w:pPr>
      <w:bookmarkStart w:id="14" w:name="heading_17"/>
      <w:r>
        <w:rPr>
          <w:rFonts w:ascii="Arial" w:hAnsi="Arial" w:eastAsia="等线" w:cs="Arial"/>
          <w:b/>
          <w:sz w:val="36"/>
        </w:rPr>
        <w:t>二、重点问题深入分析及预防措施</w:t>
      </w:r>
      <w:bookmarkEnd w:id="14"/>
    </w:p>
    <w:p>
      <w:pPr>
        <w:spacing w:before="120" w:after="120" w:line="288" w:lineRule="auto"/>
        <w:ind w:left="0"/>
        <w:jc w:val="left"/>
      </w:pPr>
      <w:r>
        <w:rPr>
          <w:rFonts w:ascii="Arial" w:hAnsi="Arial" w:eastAsia="等线" w:cs="Arial"/>
          <w:sz w:val="22"/>
        </w:rPr>
        <w:t>结合2025年投诉工单核心数据，聚焦停车管理、房屋维修、邻里纠纷、业主大会/业委会、房屋违规使用五大核心诉求类型（2025年诉求量前五），深入剖析2025年问题根源，结合同比变化针对性提出预防措施，推动实现“源头治理、标本兼治”。</w:t>
      </w:r>
    </w:p>
    <w:p>
      <w:pPr>
        <w:spacing w:before="320" w:after="120" w:line="288" w:lineRule="auto"/>
        <w:ind w:left="0"/>
        <w:jc w:val="left"/>
        <w:outlineLvl w:val="1"/>
      </w:pPr>
      <w:bookmarkStart w:id="15" w:name="heading_18"/>
      <w:r>
        <w:rPr>
          <w:rFonts w:ascii="Arial" w:hAnsi="Arial" w:eastAsia="等线" w:cs="Arial"/>
          <w:b/>
          <w:sz w:val="32"/>
        </w:rPr>
        <w:t>2.1 停车管理</w:t>
      </w:r>
      <w:bookmarkEnd w:id="15"/>
    </w:p>
    <w:p>
      <w:pPr>
        <w:spacing w:before="300" w:after="120" w:line="288" w:lineRule="auto"/>
        <w:ind w:left="0"/>
        <w:jc w:val="left"/>
        <w:outlineLvl w:val="2"/>
      </w:pPr>
      <w:bookmarkStart w:id="16" w:name="heading_19"/>
      <w:r>
        <w:rPr>
          <w:rFonts w:ascii="Arial" w:hAnsi="Arial" w:eastAsia="等线" w:cs="Arial"/>
          <w:b/>
          <w:sz w:val="30"/>
        </w:rPr>
        <w:t>问题分析</w:t>
      </w:r>
      <w:bookmarkEnd w:id="16"/>
    </w:p>
    <w:p>
      <w:pPr>
        <w:spacing w:before="120" w:after="120" w:line="288" w:lineRule="auto"/>
        <w:ind w:left="0"/>
        <w:jc w:val="left"/>
        <w:rPr>
          <w:rFonts w:ascii="Arial" w:hAnsi="Arial" w:eastAsia="等线" w:cs="Arial"/>
          <w:sz w:val="22"/>
        </w:rPr>
      </w:pPr>
      <w:r>
        <w:rPr>
          <w:rFonts w:ascii="Arial" w:hAnsi="Arial" w:eastAsia="等线" w:cs="Arial"/>
          <w:sz w:val="22"/>
        </w:rPr>
        <w:t>停车管理连续两年成为首要投诉类型，2025年以319条工单占全年总量12.57%，虽同比下降12.60%，但仍是最突出的民生诉求，核心问题集中在</w:t>
      </w:r>
      <w:r>
        <w:rPr>
          <w:rFonts w:hint="eastAsia" w:ascii="Arial" w:hAnsi="Arial" w:eastAsia="等线" w:cs="Arial"/>
          <w:sz w:val="22"/>
          <w:lang w:val="en-US" w:eastAsia="zh-CN"/>
        </w:rPr>
        <w:t>三</w:t>
      </w:r>
      <w:r>
        <w:rPr>
          <w:rFonts w:ascii="Arial" w:hAnsi="Arial" w:eastAsia="等线" w:cs="Arial"/>
          <w:sz w:val="22"/>
        </w:rPr>
        <w:t>个方面：</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供需矛盾突出的问题长期存在。老旧小区车位配比偏低，停车困难的矛盾长期存在，小区周边商场、写字楼、马路边车位错峰共享机制难以协调落实，小区停车需求无法有效分流。</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288" w:lineRule="auto"/>
        <w:ind w:left="0"/>
        <w:jc w:val="left"/>
      </w:pPr>
      <w:r>
        <w:rPr>
          <w:rFonts w:hint="eastAsia" w:ascii="Arial" w:hAnsi="Arial" w:eastAsia="等线" w:cs="Arial"/>
          <w:b/>
          <w:bCs/>
          <w:sz w:val="22"/>
          <w:lang w:val="en-US" w:eastAsia="zh-CN"/>
        </w:rPr>
        <w:t>三是</w:t>
      </w:r>
      <w:r>
        <w:rPr>
          <w:rFonts w:hint="eastAsia" w:ascii="Arial" w:hAnsi="Arial" w:eastAsia="等线" w:cs="Arial"/>
          <w:sz w:val="22"/>
        </w:rPr>
        <w:t>抢车位、乱停放的管理难度大。侵占公共停车位、电动车入栋等问题虽有改善，但机动车占用消防通道、用杂物占据停车位等情况还是时有发生，物业企业劝导制止的力度不足。</w:t>
      </w:r>
    </w:p>
    <w:p>
      <w:pPr>
        <w:spacing w:before="300" w:after="120" w:line="288" w:lineRule="auto"/>
        <w:ind w:left="0"/>
        <w:jc w:val="left"/>
        <w:outlineLvl w:val="2"/>
      </w:pPr>
      <w:bookmarkStart w:id="17" w:name="heading_20"/>
      <w:r>
        <w:rPr>
          <w:rFonts w:hint="eastAsia" w:ascii="Arial" w:hAnsi="Arial" w:eastAsia="等线" w:cs="Arial"/>
          <w:b/>
          <w:sz w:val="30"/>
          <w:lang w:val="en-US" w:eastAsia="zh-CN"/>
        </w:rPr>
        <w:t>改进</w:t>
      </w:r>
      <w:r>
        <w:rPr>
          <w:rFonts w:ascii="Arial" w:hAnsi="Arial" w:eastAsia="等线" w:cs="Arial"/>
          <w:b/>
          <w:sz w:val="30"/>
        </w:rPr>
        <w:t>措施</w:t>
      </w:r>
      <w:bookmarkEnd w:id="17"/>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督促物业服务企业加大巡查巡视的频次，发现问题及时劝阻，对不听劝阻的协调居委会和业委会共同沟通协调。</w:t>
      </w:r>
    </w:p>
    <w:p>
      <w:pPr>
        <w:spacing w:before="320" w:after="120" w:line="288" w:lineRule="auto"/>
        <w:ind w:left="0"/>
        <w:jc w:val="left"/>
        <w:outlineLvl w:val="1"/>
      </w:pPr>
      <w:bookmarkStart w:id="18" w:name="heading_21"/>
      <w:r>
        <w:rPr>
          <w:rFonts w:ascii="Arial" w:hAnsi="Arial" w:eastAsia="等线" w:cs="Arial"/>
          <w:b/>
          <w:sz w:val="32"/>
        </w:rPr>
        <w:t>2.2 房屋维修</w:t>
      </w:r>
      <w:bookmarkEnd w:id="18"/>
    </w:p>
    <w:p>
      <w:pPr>
        <w:spacing w:before="300" w:after="120" w:line="288" w:lineRule="auto"/>
        <w:ind w:left="0"/>
        <w:jc w:val="left"/>
        <w:outlineLvl w:val="2"/>
      </w:pPr>
      <w:bookmarkStart w:id="19" w:name="heading_22"/>
      <w:r>
        <w:rPr>
          <w:rFonts w:ascii="Arial" w:hAnsi="Arial" w:eastAsia="等线" w:cs="Arial"/>
          <w:b/>
          <w:sz w:val="30"/>
        </w:rPr>
        <w:t>问题分析</w:t>
      </w:r>
      <w:bookmarkEnd w:id="19"/>
    </w:p>
    <w:p>
      <w:pPr>
        <w:spacing w:before="120" w:after="120" w:line="288" w:lineRule="auto"/>
        <w:ind w:left="0"/>
        <w:jc w:val="left"/>
        <w:rPr>
          <w:rFonts w:ascii="Arial" w:hAnsi="Arial" w:eastAsia="等线" w:cs="Arial"/>
          <w:sz w:val="22"/>
        </w:rPr>
      </w:pPr>
      <w:r>
        <w:rPr>
          <w:rFonts w:ascii="Arial" w:hAnsi="Arial" w:eastAsia="等线" w:cs="Arial"/>
          <w:sz w:val="22"/>
        </w:rPr>
        <w:t>房屋维修是2025年核心诉求类型之一，2025年以266条工单占全年总量10.48%，虽同比下降23.34%，但仍是高频突出的民生诉求，核心问题集中在四个方面：</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bookmarkStart w:id="20" w:name="heading_23"/>
      <w:r>
        <w:rPr>
          <w:rFonts w:hint="eastAsia" w:ascii="Arial" w:hAnsi="Arial" w:eastAsia="等线" w:cs="Arial"/>
          <w:b/>
          <w:sz w:val="30"/>
          <w:lang w:val="en-US" w:eastAsia="zh-CN"/>
        </w:rPr>
        <w:t>改进</w:t>
      </w:r>
      <w:r>
        <w:rPr>
          <w:rFonts w:ascii="Arial" w:hAnsi="Arial" w:eastAsia="等线" w:cs="Arial"/>
          <w:b/>
          <w:sz w:val="30"/>
        </w:rPr>
        <w:t>措施</w:t>
      </w:r>
      <w:bookmarkEnd w:id="20"/>
    </w:p>
    <w:p>
      <w:pPr>
        <w:numPr>
          <w:ilvl w:val="0"/>
          <w:numId w:val="6"/>
        </w:numPr>
        <w:spacing w:before="120" w:after="120" w:line="288" w:lineRule="auto"/>
        <w:ind w:left="0"/>
        <w:jc w:val="left"/>
      </w:pPr>
      <w:r>
        <w:rPr>
          <w:rFonts w:ascii="Arial" w:hAnsi="Arial" w:eastAsia="等线" w:cs="Arial"/>
          <w:sz w:val="22"/>
        </w:rPr>
        <w:t>建立快速响应机制，明确处置时限：督促物业公司建立2025年房屋维修24小时响应机制，明确普通维修（3个工作日内响应处置）和紧急维修（2小时内响应、24小时内处置）的响应、处置时限，对未按时限处置的物业公司进行通报处罚，定期向业主反馈维修进度。</w:t>
      </w:r>
    </w:p>
    <w:p>
      <w:pPr>
        <w:numPr>
          <w:ilvl w:val="0"/>
          <w:numId w:val="7"/>
        </w:numPr>
        <w:spacing w:before="120" w:after="120" w:line="288" w:lineRule="auto"/>
        <w:ind w:left="0"/>
        <w:jc w:val="left"/>
      </w:pPr>
      <w:r>
        <w:rPr>
          <w:rFonts w:ascii="Arial" w:hAnsi="Arial" w:eastAsia="等线" w:cs="Arial"/>
          <w:sz w:val="22"/>
        </w:rPr>
        <w:t>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numPr>
          <w:ilvl w:val="0"/>
          <w:numId w:val="8"/>
        </w:numPr>
        <w:spacing w:before="120" w:after="120" w:line="288" w:lineRule="auto"/>
        <w:ind w:left="0"/>
        <w:jc w:val="left"/>
      </w:pPr>
      <w:r>
        <w:rPr>
          <w:rFonts w:ascii="Arial" w:hAnsi="Arial" w:eastAsia="等线" w:cs="Arial"/>
          <w:sz w:val="22"/>
        </w:rPr>
        <w:t>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numPr>
          <w:ilvl w:val="0"/>
          <w:numId w:val="9"/>
        </w:numPr>
        <w:spacing w:before="120" w:after="120" w:line="288" w:lineRule="auto"/>
        <w:ind w:left="0"/>
        <w:jc w:val="left"/>
      </w:pPr>
      <w:r>
        <w:rPr>
          <w:rFonts w:ascii="Arial" w:hAnsi="Arial" w:eastAsia="等线" w:cs="Arial"/>
          <w:sz w:val="22"/>
        </w:rPr>
        <w:t>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绿邑翠苑、石龙路33弄等）老化设施进行集中更新，建立定期巡检制度，每季度开展一次设施隐患排查，提前排查渗漏水、管道堵塞、电梯故障等隐患，减少维修诉求。</w:t>
      </w:r>
    </w:p>
    <w:p>
      <w:pPr>
        <w:numPr>
          <w:ilvl w:val="0"/>
          <w:numId w:val="10"/>
        </w:numPr>
        <w:spacing w:before="120" w:after="120" w:line="288" w:lineRule="auto"/>
        <w:ind w:left="0"/>
        <w:jc w:val="left"/>
      </w:pPr>
      <w:r>
        <w:rPr>
          <w:rFonts w:ascii="Arial" w:hAnsi="Arial" w:eastAsia="等线" w:cs="Arial"/>
          <w:sz w:val="22"/>
        </w:rPr>
        <w:t>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spacing w:before="320" w:after="120" w:line="288" w:lineRule="auto"/>
        <w:ind w:left="0"/>
        <w:jc w:val="left"/>
        <w:outlineLvl w:val="1"/>
      </w:pPr>
      <w:bookmarkStart w:id="21" w:name="heading_24"/>
      <w:r>
        <w:rPr>
          <w:rFonts w:ascii="Arial" w:hAnsi="Arial" w:eastAsia="等线" w:cs="Arial"/>
          <w:b/>
          <w:sz w:val="32"/>
        </w:rPr>
        <w:t>2.3 邻里纠纷</w:t>
      </w:r>
      <w:bookmarkEnd w:id="21"/>
    </w:p>
    <w:p>
      <w:pPr>
        <w:spacing w:before="300" w:after="120" w:line="288" w:lineRule="auto"/>
        <w:ind w:left="0"/>
        <w:jc w:val="left"/>
        <w:outlineLvl w:val="2"/>
      </w:pPr>
      <w:bookmarkStart w:id="22" w:name="heading_25"/>
      <w:r>
        <w:rPr>
          <w:rFonts w:ascii="Arial" w:hAnsi="Arial" w:eastAsia="等线" w:cs="Arial"/>
          <w:b/>
          <w:sz w:val="30"/>
        </w:rPr>
        <w:t>问题分析</w:t>
      </w:r>
      <w:bookmarkEnd w:id="22"/>
    </w:p>
    <w:p>
      <w:pPr>
        <w:spacing w:before="120" w:after="120" w:line="288" w:lineRule="auto"/>
        <w:ind w:left="0"/>
        <w:jc w:val="left"/>
        <w:rPr>
          <w:rFonts w:ascii="Arial" w:hAnsi="Arial" w:eastAsia="等线" w:cs="Arial"/>
          <w:sz w:val="22"/>
        </w:rPr>
      </w:pPr>
      <w:r>
        <w:rPr>
          <w:rFonts w:ascii="Arial" w:hAnsi="Arial" w:eastAsia="等线" w:cs="Arial"/>
          <w:sz w:val="22"/>
        </w:rPr>
        <w:t>邻里纠纷是2025年核心诉求类型之一，全年共223条，占总量8.79%，同比下降16.17%，整体诉求量小幅下降，部分小区矛盾较为突出。主要纠纷类型包括：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rPr>
          <w:rFonts w:ascii="Arial" w:hAnsi="Arial" w:eastAsia="等线" w:cs="Arial"/>
          <w:sz w:val="22"/>
        </w:rPr>
      </w:pPr>
      <w:r>
        <w:rPr>
          <w:rFonts w:ascii="Arial" w:hAnsi="Arial" w:eastAsia="等线" w:cs="Arial"/>
          <w:b/>
          <w:bCs/>
          <w:sz w:val="22"/>
        </w:rPr>
        <w:t>五是</w:t>
      </w:r>
      <w:r>
        <w:rPr>
          <w:rFonts w:ascii="Arial" w:hAnsi="Arial" w:eastAsia="等线" w:cs="Arial"/>
          <w:sz w:val="22"/>
        </w:rPr>
        <w:t>装修影响，违规拆改、粉尘污染、建筑垃圾乱堆乱放等引发矛盾。</w:t>
      </w:r>
    </w:p>
    <w:p>
      <w:pPr>
        <w:spacing w:before="120" w:after="120" w:line="288" w:lineRule="auto"/>
        <w:ind w:left="0"/>
        <w:jc w:val="left"/>
      </w:pPr>
      <w:r>
        <w:rPr>
          <w:rFonts w:ascii="Arial" w:hAnsi="Arial" w:eastAsia="等线" w:cs="Arial"/>
          <w:sz w:val="22"/>
        </w:rPr>
        <w:t>此类纠纷多因生活习惯差异、沟通不畅引发，易升级为投诉，影响社区和谐。</w:t>
      </w:r>
    </w:p>
    <w:p>
      <w:pPr>
        <w:spacing w:before="300" w:after="120" w:line="288" w:lineRule="auto"/>
        <w:ind w:left="0"/>
        <w:jc w:val="left"/>
        <w:outlineLvl w:val="2"/>
      </w:pPr>
      <w:bookmarkStart w:id="23" w:name="heading_27"/>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spacing w:before="120" w:after="120" w:line="288" w:lineRule="auto"/>
        <w:ind w:left="0"/>
        <w:jc w:val="left"/>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p>
    <w:p>
      <w:pPr>
        <w:spacing w:before="320" w:after="120" w:line="288" w:lineRule="auto"/>
        <w:ind w:left="0"/>
        <w:jc w:val="left"/>
        <w:outlineLvl w:val="1"/>
      </w:pPr>
      <w:r>
        <w:rPr>
          <w:rFonts w:ascii="Arial" w:hAnsi="Arial" w:eastAsia="等线" w:cs="Arial"/>
          <w:b/>
          <w:sz w:val="32"/>
        </w:rPr>
        <w:t>2.4 业主大会/业委会</w:t>
      </w:r>
      <w:bookmarkEnd w:id="23"/>
    </w:p>
    <w:p>
      <w:pPr>
        <w:spacing w:before="300" w:after="120" w:line="288" w:lineRule="auto"/>
        <w:ind w:left="0"/>
        <w:jc w:val="left"/>
        <w:outlineLvl w:val="2"/>
      </w:pPr>
      <w:bookmarkStart w:id="24" w:name="heading_28"/>
      <w:r>
        <w:rPr>
          <w:rFonts w:ascii="Arial" w:hAnsi="Arial" w:eastAsia="等线" w:cs="Arial"/>
          <w:b/>
          <w:sz w:val="30"/>
        </w:rPr>
        <w:t>问题分析</w:t>
      </w:r>
      <w:bookmarkEnd w:id="24"/>
    </w:p>
    <w:p>
      <w:pPr>
        <w:spacing w:before="120" w:after="120" w:line="288" w:lineRule="auto"/>
        <w:ind w:left="0"/>
        <w:jc w:val="left"/>
        <w:rPr>
          <w:rFonts w:ascii="Arial" w:hAnsi="Arial" w:eastAsia="等线" w:cs="Arial"/>
          <w:sz w:val="22"/>
        </w:rPr>
      </w:pPr>
      <w:r>
        <w:rPr>
          <w:rFonts w:ascii="Arial" w:hAnsi="Arial" w:eastAsia="等线" w:cs="Arial"/>
          <w:sz w:val="22"/>
        </w:rPr>
        <w:t>2025年业主大会/业委会相关诉求197条，占全年总量7.76%，较2024年大幅下降34.55%，治理成效显著，但仍是核心诉求类型之一，需持续关注。核心问题集中在：</w:t>
      </w:r>
    </w:p>
    <w:p>
      <w:pPr>
        <w:spacing w:before="120" w:after="120" w:line="288" w:lineRule="auto"/>
        <w:ind w:left="0"/>
        <w:jc w:val="left"/>
        <w:rPr>
          <w:rFonts w:hint="eastAsia" w:ascii="Arial" w:hAnsi="Arial" w:eastAsia="等线" w:cs="Arial"/>
          <w:sz w:val="22"/>
        </w:rPr>
      </w:pPr>
      <w:bookmarkStart w:id="25" w:name="heading_30"/>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bookmarkStart w:id="26" w:name="heading_29"/>
      <w:r>
        <w:rPr>
          <w:rFonts w:hint="eastAsia" w:ascii="Arial" w:hAnsi="Arial" w:eastAsia="等线" w:cs="Arial"/>
          <w:b/>
          <w:sz w:val="30"/>
          <w:lang w:val="en-US" w:eastAsia="zh-CN"/>
        </w:rPr>
        <w:t>改进</w:t>
      </w:r>
      <w:r>
        <w:rPr>
          <w:rFonts w:ascii="Arial" w:hAnsi="Arial" w:eastAsia="等线" w:cs="Arial"/>
          <w:b/>
          <w:sz w:val="30"/>
        </w:rPr>
        <w:t>措施</w:t>
      </w:r>
      <w:bookmarkEnd w:id="26"/>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p>
      <w:pPr>
        <w:spacing w:before="320" w:after="120" w:line="288" w:lineRule="auto"/>
        <w:ind w:left="0"/>
        <w:jc w:val="left"/>
        <w:outlineLvl w:val="1"/>
      </w:pPr>
      <w:r>
        <w:rPr>
          <w:rFonts w:ascii="Arial" w:hAnsi="Arial" w:eastAsia="等线" w:cs="Arial"/>
          <w:b/>
          <w:sz w:val="32"/>
        </w:rPr>
        <w:t>2.5 房屋违规使用</w:t>
      </w:r>
      <w:bookmarkEnd w:id="25"/>
    </w:p>
    <w:p>
      <w:pPr>
        <w:spacing w:before="300" w:after="120" w:line="288" w:lineRule="auto"/>
        <w:ind w:left="0"/>
        <w:jc w:val="left"/>
        <w:outlineLvl w:val="2"/>
      </w:pPr>
      <w:bookmarkStart w:id="27" w:name="heading_31"/>
      <w:r>
        <w:rPr>
          <w:rFonts w:ascii="Arial" w:hAnsi="Arial" w:eastAsia="等线" w:cs="Arial"/>
          <w:b/>
          <w:sz w:val="30"/>
        </w:rPr>
        <w:t>问题分析</w:t>
      </w:r>
      <w:bookmarkEnd w:id="27"/>
    </w:p>
    <w:p>
      <w:pPr>
        <w:spacing w:before="120" w:after="120" w:line="288" w:lineRule="auto"/>
        <w:ind w:left="0"/>
        <w:jc w:val="left"/>
        <w:rPr>
          <w:rFonts w:ascii="Arial" w:hAnsi="Arial" w:eastAsia="等线" w:cs="Arial"/>
          <w:sz w:val="22"/>
        </w:rPr>
      </w:pPr>
      <w:r>
        <w:rPr>
          <w:rFonts w:ascii="Arial" w:hAnsi="Arial" w:eastAsia="等线" w:cs="Arial"/>
          <w:sz w:val="22"/>
        </w:rPr>
        <w:t>2025年房屋违规使用诉求190条，占全年总量的7.49%，同比下降28.57%，整体管控成效初显，但局部问题仍突出。核心问题集中在：</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群租现象残留，部分房屋分割出租、改变房屋结构、违规隔断，存在消防、安全隐患，虽同比有所下降，但仍是重点问题；</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装修违规拆改，部分业主装修时擅自拆改承重墙、剪力墙，威胁房屋安全，此类问题隐蔽性强，发现和查处难度较大；</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私搭乱建，擅自占用小区公共空间（楼道、绿地、屋顶等）搭建构筑物，影响小区风貌和消防安全；</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违规堆放物品，部分业主在公共区域堆放易燃易爆物品，存在安全隐患，尤其是老旧小区，此类问题较为突出。</w:t>
      </w:r>
    </w:p>
    <w:p>
      <w:pPr>
        <w:spacing w:before="300" w:after="120" w:line="288" w:lineRule="auto"/>
        <w:ind w:left="0"/>
        <w:jc w:val="left"/>
        <w:outlineLvl w:val="2"/>
      </w:pPr>
      <w:bookmarkStart w:id="28" w:name="heading_32"/>
      <w:r>
        <w:rPr>
          <w:rFonts w:hint="eastAsia" w:ascii="Arial" w:hAnsi="Arial" w:eastAsia="等线" w:cs="Arial"/>
          <w:b/>
          <w:sz w:val="30"/>
          <w:lang w:val="en-US" w:eastAsia="zh-CN"/>
        </w:rPr>
        <w:t>改进</w:t>
      </w:r>
      <w:r>
        <w:rPr>
          <w:rFonts w:ascii="Arial" w:hAnsi="Arial" w:eastAsia="等线" w:cs="Arial"/>
          <w:b/>
          <w:sz w:val="30"/>
        </w:rPr>
        <w:t>措施</w:t>
      </w:r>
      <w:bookmarkEnd w:id="28"/>
    </w:p>
    <w:p>
      <w:pPr>
        <w:spacing w:before="120" w:after="120" w:line="288" w:lineRule="auto"/>
        <w:ind w:left="0"/>
        <w:jc w:val="left"/>
      </w:pPr>
      <w:bookmarkStart w:id="29" w:name="heading_33"/>
      <w:r>
        <w:rPr>
          <w:rFonts w:ascii="Arial" w:hAnsi="Arial" w:eastAsia="等线" w:cs="Arial"/>
          <w:sz w:val="22"/>
        </w:rPr>
        <w:t>1.  开展专项整治，强化执法力度：街道联合城管等相关部门，定期开展房屋违规使用专项整治行动，重点整治群租、违规拆改、私搭乱建等突出问题，发现一起查处一起，依法采取整改、处罚等措施，形成执法震慑，巩固管控成效。</w:t>
      </w:r>
    </w:p>
    <w:p>
      <w:pPr>
        <w:spacing w:before="120" w:after="120" w:line="288" w:lineRule="auto"/>
        <w:ind w:left="0"/>
        <w:jc w:val="left"/>
      </w:pPr>
      <w:r>
        <w:rPr>
          <w:rFonts w:ascii="Arial" w:hAnsi="Arial" w:eastAsia="等线" w:cs="Arial"/>
          <w:sz w:val="22"/>
        </w:rPr>
        <w:t>2.  加强源头管控，筑牢防范防线：物业公司在业主装修、出租房屋时，履行告知义务，向业主发放合规装修、出租承诺书，明确禁止违规行为，全程监管装修施工过程，及时制止违规拆改、私搭乱建等行为并上报街道相关部门。</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违规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等多种渠道，普及房屋安全知识和相关法律法规，曝光违规使用房屋案例，增强居民的安全意识和法治意识，引导居民合规使用房屋，自觉抵制违规行为。</w:t>
      </w:r>
    </w:p>
    <w:p>
      <w:pPr>
        <w:spacing w:before="380" w:after="140" w:line="288" w:lineRule="auto"/>
        <w:ind w:left="0"/>
        <w:jc w:val="left"/>
        <w:outlineLvl w:val="0"/>
      </w:pPr>
      <w:r>
        <w:rPr>
          <w:rFonts w:ascii="Arial" w:hAnsi="Arial" w:eastAsia="等线" w:cs="Arial"/>
          <w:b/>
          <w:sz w:val="36"/>
        </w:rPr>
        <w:t>三、结语</w:t>
      </w:r>
      <w:bookmarkEnd w:id="29"/>
    </w:p>
    <w:p>
      <w:pPr>
        <w:spacing w:before="120" w:after="120" w:line="288" w:lineRule="auto"/>
        <w:ind w:left="0"/>
        <w:jc w:val="left"/>
      </w:pPr>
      <w:r>
        <w:rPr>
          <w:rFonts w:ascii="Arial" w:hAnsi="Arial" w:eastAsia="等线" w:cs="Arial"/>
          <w:sz w:val="22"/>
        </w:rPr>
        <w:t>2025年，漕河泾街道住宅小区12345投诉工单量共计2538条，较2024年降幅达16.60%，各类核心诉求得到</w:t>
      </w:r>
      <w:r>
        <w:rPr>
          <w:rFonts w:hint="eastAsia" w:ascii="Arial" w:hAnsi="Arial" w:eastAsia="等线" w:cs="Arial"/>
          <w:sz w:val="22"/>
          <w:lang w:val="en-US" w:eastAsia="zh-CN"/>
        </w:rPr>
        <w:t>显著</w:t>
      </w:r>
      <w:r>
        <w:rPr>
          <w:rFonts w:ascii="Arial" w:hAnsi="Arial" w:eastAsia="等线" w:cs="Arial"/>
          <w:sz w:val="22"/>
        </w:rPr>
        <w:t>缓解，充分反映出区域住宅小区管理服务水平持续提升、民生矛盾化解效能不断增强。同时，2025年数据显示，停车管理仍是最突出诉求，服务态度、物业收费两类诉求呈现同比大幅增长态势，房屋维修、邻里纠纷、业主大会/业委会、房屋违规使用等核心问题仍未彻底解决，重点小区（绿邑翠苑、金牛苑等）的管理服务短板依然存在，住宅小区管理服务工作仍有较大提升空间。</w:t>
      </w:r>
    </w:p>
    <w:p>
      <w:pPr>
        <w:spacing w:before="120" w:after="120" w:line="288" w:lineRule="auto"/>
        <w:ind w:left="0"/>
        <w:jc w:val="left"/>
      </w:pPr>
      <w:r>
        <w:rPr>
          <w:rFonts w:ascii="Arial" w:hAnsi="Arial" w:eastAsia="等线" w:cs="Arial"/>
          <w:sz w:val="22"/>
        </w:rPr>
        <w:t>下一步，</w:t>
      </w:r>
      <w:r>
        <w:rPr>
          <w:rFonts w:hint="eastAsia" w:ascii="Arial" w:hAnsi="Arial" w:eastAsia="等线" w:cs="Arial"/>
          <w:sz w:val="22"/>
          <w:lang w:val="en-US" w:eastAsia="zh-CN"/>
        </w:rPr>
        <w:t>应</w:t>
      </w:r>
      <w:r>
        <w:rPr>
          <w:rFonts w:ascii="Arial" w:hAnsi="Arial" w:eastAsia="等线" w:cs="Arial"/>
          <w:sz w:val="22"/>
        </w:rPr>
        <w:t>聚焦2025年突出问题、重点小区、重点企业，强化问题导向和目标导向，多措并举推动住宅小区管理服务质量再提升。一是持续深化“四方联动”机制，加强街道、社区、业委会、物业公司的协同配合，高效化解矛盾纠纷；二是聚焦五大核心诉求，细化预防措施，狠抓落实，推动问题从“被动处置”向“主动预防”转变；三是加强物业公司监管，建立健全考核评价和奖惩机制，推动行业规范化发展，重点督促小规模物业公司提升服务质量；四是加强宣传引导，引导居民参与社区治理，提升居民文明素养和维权意识，共同营造稳定和谐、宜居宜业的住宅小区环境，切实提升居民的获得感、幸福感和安全感。</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BD8B"/>
    <w:multiLevelType w:val="singleLevel"/>
    <w:tmpl w:val="97BEBD8B"/>
    <w:lvl w:ilvl="0" w:tentative="0">
      <w:start w:val="4"/>
      <w:numFmt w:val="decimal"/>
      <w:lvlText w:val="%1."/>
      <w:lvlJc w:val="left"/>
      <w:rPr>
        <w:rFonts w:hint="default"/>
        <w:color w:val="auto"/>
      </w:rPr>
    </w:lvl>
  </w:abstractNum>
  <w:abstractNum w:abstractNumId="1">
    <w:nsid w:val="9FFDD82E"/>
    <w:multiLevelType w:val="singleLevel"/>
    <w:tmpl w:val="9FFDD82E"/>
    <w:lvl w:ilvl="0" w:tentative="0">
      <w:start w:val="1"/>
      <w:numFmt w:val="decimal"/>
      <w:lvlText w:val="%1."/>
      <w:lvlJc w:val="left"/>
      <w:rPr>
        <w:rFonts w:hint="default"/>
        <w:color w:val="auto"/>
      </w:rPr>
    </w:lvl>
  </w:abstractNum>
  <w:abstractNum w:abstractNumId="2">
    <w:nsid w:val="ABCE3EC2"/>
    <w:multiLevelType w:val="singleLevel"/>
    <w:tmpl w:val="ABCE3EC2"/>
    <w:lvl w:ilvl="0" w:tentative="0">
      <w:start w:val="2"/>
      <w:numFmt w:val="decimal"/>
      <w:lvlText w:val="%1."/>
      <w:lvlJc w:val="left"/>
      <w:rPr>
        <w:rFonts w:hint="default"/>
        <w:color w:val="auto"/>
      </w:rPr>
    </w:lvl>
  </w:abstractNum>
  <w:abstractNum w:abstractNumId="3">
    <w:nsid w:val="BFBE3F66"/>
    <w:multiLevelType w:val="singleLevel"/>
    <w:tmpl w:val="BFBE3F66"/>
    <w:lvl w:ilvl="0" w:tentative="0">
      <w:start w:val="2"/>
      <w:numFmt w:val="decimal"/>
      <w:lvlText w:val="%1."/>
      <w:lvlJc w:val="left"/>
      <w:rPr>
        <w:rFonts w:hint="default"/>
        <w:color w:val="auto"/>
      </w:rPr>
    </w:lvl>
  </w:abstractNum>
  <w:abstractNum w:abstractNumId="4">
    <w:nsid w:val="D6960D28"/>
    <w:multiLevelType w:val="singleLevel"/>
    <w:tmpl w:val="D6960D28"/>
    <w:lvl w:ilvl="0" w:tentative="0">
      <w:start w:val="3"/>
      <w:numFmt w:val="decimal"/>
      <w:lvlText w:val="%1."/>
      <w:lvlJc w:val="left"/>
      <w:rPr>
        <w:rFonts w:hint="default"/>
        <w:color w:val="auto"/>
      </w:rPr>
    </w:lvl>
  </w:abstractNum>
  <w:abstractNum w:abstractNumId="5">
    <w:nsid w:val="DB7B2E20"/>
    <w:multiLevelType w:val="singleLevel"/>
    <w:tmpl w:val="DB7B2E20"/>
    <w:lvl w:ilvl="0" w:tentative="0">
      <w:start w:val="3"/>
      <w:numFmt w:val="decimal"/>
      <w:lvlText w:val="%1."/>
      <w:lvlJc w:val="left"/>
      <w:rPr>
        <w:rFonts w:hint="default"/>
        <w:color w:val="auto"/>
      </w:rPr>
    </w:lvl>
  </w:abstractNum>
  <w:abstractNum w:abstractNumId="6">
    <w:nsid w:val="DECBCB1F"/>
    <w:multiLevelType w:val="singleLevel"/>
    <w:tmpl w:val="DECBCB1F"/>
    <w:lvl w:ilvl="0" w:tentative="0">
      <w:start w:val="5"/>
      <w:numFmt w:val="decimal"/>
      <w:lvlText w:val="%1."/>
      <w:lvlJc w:val="left"/>
      <w:rPr>
        <w:rFonts w:hint="default"/>
        <w:color w:val="auto"/>
      </w:rPr>
    </w:lvl>
  </w:abstractNum>
  <w:abstractNum w:abstractNumId="7">
    <w:nsid w:val="5FFCC16C"/>
    <w:multiLevelType w:val="singleLevel"/>
    <w:tmpl w:val="5FFCC16C"/>
    <w:lvl w:ilvl="0" w:tentative="0">
      <w:start w:val="1"/>
      <w:numFmt w:val="decimal"/>
      <w:lvlText w:val="%1."/>
      <w:lvlJc w:val="left"/>
      <w:rPr>
        <w:rFonts w:hint="default"/>
        <w:color w:val="auto"/>
      </w:rPr>
    </w:lvl>
  </w:abstractNum>
  <w:abstractNum w:abstractNumId="8">
    <w:nsid w:val="79D65868"/>
    <w:multiLevelType w:val="singleLevel"/>
    <w:tmpl w:val="79D65868"/>
    <w:lvl w:ilvl="0" w:tentative="0">
      <w:start w:val="5"/>
      <w:numFmt w:val="decimal"/>
      <w:lvlText w:val="%1."/>
      <w:lvlJc w:val="left"/>
      <w:rPr>
        <w:rFonts w:hint="default"/>
        <w:color w:val="auto"/>
      </w:rPr>
    </w:lvl>
  </w:abstractNum>
  <w:abstractNum w:abstractNumId="9">
    <w:nsid w:val="7F8A6016"/>
    <w:multiLevelType w:val="singleLevel"/>
    <w:tmpl w:val="7F8A6016"/>
    <w:lvl w:ilvl="0" w:tentative="0">
      <w:start w:val="4"/>
      <w:numFmt w:val="decimal"/>
      <w:lvlText w:val="%1."/>
      <w:lvlJc w:val="left"/>
      <w:rPr>
        <w:rFonts w:hint="default"/>
        <w:color w:val="auto"/>
      </w:rPr>
    </w:lvl>
  </w:abstractNum>
  <w:num w:numId="1">
    <w:abstractNumId w:val="7"/>
  </w:num>
  <w:num w:numId="2">
    <w:abstractNumId w:val="2"/>
  </w:num>
  <w:num w:numId="3">
    <w:abstractNumId w:val="5"/>
  </w:num>
  <w:num w:numId="4">
    <w:abstractNumId w:val="9"/>
  </w:num>
  <w:num w:numId="5">
    <w:abstractNumId w:val="8"/>
  </w:num>
  <w:num w:numId="6">
    <w:abstractNumId w:val="1"/>
  </w:num>
  <w:num w:numId="7">
    <w:abstractNumId w:val="3"/>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FD3D43"/>
    <w:rsid w:val="3C6FFF03"/>
    <w:rsid w:val="3EF732CC"/>
    <w:rsid w:val="5DFF69F1"/>
    <w:rsid w:val="65CF9AB7"/>
    <w:rsid w:val="6D7B7D67"/>
    <w:rsid w:val="6FBBB0C4"/>
    <w:rsid w:val="7653313C"/>
    <w:rsid w:val="7EC75EFA"/>
    <w:rsid w:val="9FBE3967"/>
    <w:rsid w:val="BBD17B19"/>
    <w:rsid w:val="DDF6C787"/>
    <w:rsid w:val="EFBF18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imes New Roman" w:hAnsi="Times New Roman" w:eastAsia="宋体" w:cs="Times New Roman"/>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13</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2026-02-27T23:00:00Z</dcterms:created>
  <dc:creator>Apache POI</dc:creator>
  <cp:lastModifiedBy>江沂</cp:lastModifiedBy>
  <dcterms:modified xsi:type="dcterms:W3CDTF">2026-04-15T13:05:44Z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238DCBB43A171C6163F0DE69ED00BC0B_43</vt:lpwstr>
  </property>
</Properties>
</file>